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eastAsia="zh-CN"/>
          <w14:textFill>
            <w14:solidFill>
              <w14:schemeClr w14:val="tx1"/>
            </w14:solidFill>
          </w14:textFill>
        </w:rPr>
        <w:t>江北区中医院</w:t>
      </w:r>
      <w:r>
        <w:rPr>
          <w:rFonts w:hint="eastAsia" w:ascii="宋体" w:hAnsi="宋体"/>
          <w:b/>
          <w:color w:val="000000" w:themeColor="text1"/>
          <w:sz w:val="28"/>
          <w:szCs w:val="28"/>
          <w14:textFill>
            <w14:solidFill>
              <w14:schemeClr w14:val="tx1"/>
            </w14:solidFill>
          </w14:textFill>
        </w:rPr>
        <w:t>体检系统</w:t>
      </w:r>
      <w:r>
        <w:rPr>
          <w:rFonts w:hint="eastAsia" w:ascii="宋体" w:hAnsi="宋体"/>
          <w:b/>
          <w:color w:val="000000" w:themeColor="text1"/>
          <w:sz w:val="28"/>
          <w:szCs w:val="28"/>
          <w:lang w:val="en-US" w:eastAsia="zh-CN"/>
          <w14:textFill>
            <w14:solidFill>
              <w14:schemeClr w14:val="tx1"/>
            </w14:solidFill>
          </w14:textFill>
        </w:rPr>
        <w:t>升级改造服务项目</w:t>
      </w:r>
    </w:p>
    <w:p>
      <w:pPr>
        <w:spacing w:line="360" w:lineRule="auto"/>
        <w:rPr>
          <w:rFonts w:hint="default" w:ascii="宋体" w:hAnsi="宋体"/>
          <w:b/>
          <w:color w:val="FF0000"/>
          <w:sz w:val="28"/>
          <w:szCs w:val="28"/>
          <w:lang w:val="en-US" w:eastAsia="zh-CN"/>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hint="eastAsia" w:ascii="宋体" w:hAnsi="宋体"/>
          <w:b/>
          <w:bCs w:val="0"/>
          <w:color w:val="000000" w:themeColor="text1"/>
          <w:sz w:val="28"/>
          <w:szCs w:val="28"/>
          <w:lang w:val="en-US" w:eastAsia="zh-CN"/>
          <w14:textFill>
            <w14:solidFill>
              <w14:schemeClr w14:val="tx1"/>
            </w14:solidFill>
          </w14:textFill>
        </w:rPr>
        <w:t>JZY202210TJGZ</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default" w:ascii="宋体" w:hAnsi="宋体" w:eastAsia="宋体"/>
          <w:b/>
          <w:color w:val="FF0000"/>
          <w:sz w:val="28"/>
          <w:szCs w:val="28"/>
          <w:lang w:val="en-US" w:eastAsia="zh-CN"/>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2022-10-28</w:t>
      </w: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4"/>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441065652"/>
      <w:bookmarkStart w:id="1" w:name="_Toc470532838"/>
      <w:bookmarkStart w:id="2" w:name="_Toc7358321"/>
      <w:bookmarkStart w:id="3" w:name="_Toc853"/>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重庆市江北区中医院拟对体检系统升级改造服务项目进行谈判采购，欢迎有资格的供应商参加投标。</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441065653"/>
      <w:bookmarkStart w:id="5" w:name="_Toc470532839"/>
      <w:bookmarkStart w:id="6" w:name="_Toc7358322"/>
      <w:bookmarkStart w:id="7" w:name="_Toc9644"/>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4"/>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4"/>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4"/>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体检系统升级改造服务项目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9.5</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方正仿宋_GBK" w:hAnsi="宋体" w:eastAsia="方正仿宋_GBK"/>
                <w:color w:val="000000" w:themeColor="text1"/>
                <w:sz w:val="24"/>
                <w:szCs w:val="24"/>
                <w14:textFill>
                  <w14:solidFill>
                    <w14:schemeClr w14:val="tx1"/>
                  </w14:solidFill>
                </w14:textFill>
              </w:rPr>
            </w:pPr>
          </w:p>
        </w:tc>
      </w:tr>
    </w:tbl>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7358323"/>
      <w:bookmarkStart w:id="18" w:name="_Toc470532851"/>
      <w:bookmarkStart w:id="19" w:name="_Toc441065654"/>
      <w:bookmarkStart w:id="20" w:name="_Toc8082"/>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w:t>
      </w:r>
      <w:r>
        <w:rPr>
          <w:rFonts w:hint="eastAsia" w:ascii="方正仿宋_GBK" w:hAnsi="宋体" w:eastAsia="方正仿宋_GBK"/>
          <w:color w:val="000000" w:themeColor="text1"/>
          <w:sz w:val="24"/>
          <w:lang w:val="en-US" w:eastAsia="zh-CN"/>
          <w14:textFill>
            <w14:solidFill>
              <w14:schemeClr w14:val="tx1"/>
            </w14:solidFill>
          </w14:textFill>
        </w:rPr>
        <w:t>9.5</w:t>
      </w:r>
      <w:r>
        <w:rPr>
          <w:rFonts w:hint="eastAsia" w:ascii="方正仿宋_GBK" w:hAnsi="宋体" w:eastAsia="方正仿宋_GBK"/>
          <w:color w:val="000000" w:themeColor="text1"/>
          <w:sz w:val="24"/>
          <w14:textFill>
            <w14:solidFill>
              <w14:schemeClr w14:val="tx1"/>
            </w14:solidFill>
          </w14:textFill>
        </w:rPr>
        <w:t>万元。</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441065655"/>
      <w:bookmarkStart w:id="22" w:name="_Toc7358324"/>
      <w:bookmarkStart w:id="23" w:name="_Toc14099"/>
      <w:bookmarkStart w:id="24" w:name="_Toc470532852"/>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5"/>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7358325"/>
      <w:bookmarkStart w:id="26" w:name="_Toc441065656"/>
      <w:bookmarkStart w:id="27" w:name="_Toc470532853"/>
      <w:bookmarkStart w:id="28" w:name="_Toc10530"/>
      <w:r>
        <w:rPr>
          <w:rFonts w:hint="eastAsia" w:ascii="方正楷体_GBK" w:eastAsia="方正楷体_GBK"/>
          <w:b w:val="0"/>
          <w:color w:val="000000" w:themeColor="text1"/>
          <w:sz w:val="24"/>
          <w:szCs w:val="24"/>
          <w14:textFill>
            <w14:solidFill>
              <w14:schemeClr w14:val="tx1"/>
            </w14:solidFill>
          </w14:textFill>
        </w:rPr>
        <w:t>无</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000000" w:themeColor="text1"/>
          <w:sz w:val="24"/>
          <w:lang w:val="en-US" w:eastAsia="zh-CN"/>
          <w14:textFill>
            <w14:solidFill>
              <w14:schemeClr w14:val="tx1"/>
            </w14:solidFill>
          </w14:textFill>
        </w:rPr>
        <w:t>2022年10月31</w:t>
      </w:r>
      <w:r>
        <w:rPr>
          <w:rFonts w:hint="eastAsia" w:ascii="方正仿宋_GBK" w:hAnsi="宋体" w:eastAsia="方正仿宋_GBK"/>
          <w:color w:val="000000" w:themeColor="text1"/>
          <w:sz w:val="24"/>
          <w14:textFill>
            <w14:solidFill>
              <w14:schemeClr w14:val="tx1"/>
            </w14:solidFill>
          </w14:textFill>
        </w:rPr>
        <w:t>日）起至提交首次响应文件截止时间之前，请到在重庆市江北区中医院官网（https://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（二）招标文件公告期限：自本项目招标公告发布之日起五个工作日。</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（四）响应文件提交地点：</w:t>
      </w:r>
      <w:r>
        <w:rPr>
          <w:rFonts w:hint="eastAsia" w:ascii="方正仿宋_GBK" w:hAnsi="宋体" w:eastAsia="方正仿宋_GBK"/>
          <w:color w:val="000000" w:themeColor="text1"/>
          <w:sz w:val="24"/>
          <w:szCs w:val="24"/>
          <w14:textFill>
            <w14:solidFill>
              <w14:schemeClr w14:val="tx1"/>
            </w14:solidFill>
          </w14:textFill>
        </w:rPr>
        <w:t>重庆市江北区中医院1号楼21楼会议室</w:t>
      </w:r>
    </w:p>
    <w:p>
      <w:pPr>
        <w:shd w:val="clear" w:color="auto" w:fill="FFFFFF"/>
        <w:spacing w:line="380" w:lineRule="exact"/>
        <w:ind w:firstLine="480" w:firstLineChars="200"/>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（六）提交响应文件时间：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w:t>
      </w:r>
      <w:r>
        <w:rPr>
          <w:rFonts w:hint="eastAsia" w:ascii="方正仿宋_GBK" w:hAnsi="宋体" w:eastAsia="方正仿宋_GBK"/>
          <w:color w:val="000000" w:themeColor="text1"/>
          <w:sz w:val="24"/>
          <w:lang w:val="en-US" w:eastAsia="zh-CN"/>
          <w14:textFill>
            <w14:solidFill>
              <w14:schemeClr w14:val="tx1"/>
            </w14:solidFill>
          </w14:textFill>
        </w:rPr>
        <w:t>2022年11月4</w:t>
      </w:r>
      <w:r>
        <w:rPr>
          <w:rFonts w:hint="eastAsia" w:ascii="方正仿宋_GBK" w:hAnsi="宋体" w:eastAsia="方正仿宋_GBK"/>
          <w:color w:val="000000" w:themeColor="text1"/>
          <w:sz w:val="24"/>
          <w14:textFill>
            <w14:solidFill>
              <w14:schemeClr w14:val="tx1"/>
            </w14:solidFill>
          </w14:textFill>
        </w:rPr>
        <w:t>日</w:t>
      </w:r>
      <w:r>
        <w:rPr>
          <w:rFonts w:hint="eastAsia" w:ascii="方正仿宋_GBK" w:hAnsi="宋体" w:eastAsia="方正仿宋_GBK"/>
          <w:color w:val="000000" w:themeColor="text1"/>
          <w:sz w:val="24"/>
          <w:lang w:val="en-US" w:eastAsia="zh-CN"/>
          <w14:textFill>
            <w14:solidFill>
              <w14:schemeClr w14:val="tx1"/>
            </w14:solidFill>
          </w14:textFill>
        </w:rPr>
        <w:t>09:00</w:t>
      </w:r>
      <w:bookmarkStart w:id="74" w:name="_GoBack"/>
      <w:bookmarkEnd w:id="74"/>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（八）开标地点：</w:t>
      </w:r>
      <w:r>
        <w:rPr>
          <w:rFonts w:hint="eastAsia" w:ascii="方正仿宋_GBK" w:hAnsi="宋体" w:eastAsia="方正仿宋_GBK"/>
          <w:color w:val="000000" w:themeColor="text1"/>
          <w:sz w:val="24"/>
          <w:szCs w:val="24"/>
          <w14:textFill>
            <w14:solidFill>
              <w14:schemeClr w14:val="tx1"/>
            </w14:solidFill>
          </w14:textFill>
        </w:rPr>
        <w:t>重庆市江北区中医院1号楼21楼会议室</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9" w:name="_Toc493506284"/>
      <w:bookmarkStart w:id="30" w:name="_Toc3615"/>
      <w:bookmarkStart w:id="31" w:name="_Toc18848"/>
      <w:bookmarkStart w:id="32" w:name="_Toc7358328"/>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1"/>
      <w:bookmarkStart w:id="34" w:name="OLE_LINK2"/>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7358329"/>
      <w:bookmarkStart w:id="36" w:name="_Toc470532856"/>
      <w:bookmarkStart w:id="37" w:name="_Toc441065659"/>
      <w:bookmarkStart w:id="38" w:name="_Toc9947"/>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7"/>
        <w:tblpPr w:leftFromText="180" w:rightFromText="180" w:vertAnchor="text" w:horzAnchor="page" w:tblpX="1979" w:tblpY="432"/>
        <w:tblOverlap w:val="never"/>
        <w:tblW w:w="8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508"/>
        <w:gridCol w:w="4758"/>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项目名称</w:t>
            </w: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具体内容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预算金额</w:t>
            </w:r>
          </w:p>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体检系统升级改造服务项目</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包含：建卡建档、建卡管理、建卡日志查询、采用HIS物价打包收费、实时更新物价目录、</w:t>
            </w:r>
          </w:p>
          <w:p>
            <w:pPr>
              <w:snapToGrid w:val="0"/>
              <w:spacing w:line="380" w:lineRule="exact"/>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HIS、体检数据交互、总检报告及其他优化功能</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s="Times New Roman"/>
                <w:color w:val="000000" w:themeColor="text1"/>
                <w:kern w:val="2"/>
                <w:sz w:val="24"/>
                <w:szCs w:val="24"/>
                <w:lang w:val="en-US" w:eastAsia="zh-CN" w:bidi="ar-SA"/>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9.5</w:t>
            </w:r>
          </w:p>
        </w:tc>
      </w:tr>
    </w:tbl>
    <w:p>
      <w:pPr>
        <w:spacing w:line="480" w:lineRule="exact"/>
        <w:rPr>
          <w:rFonts w:hint="eastAsia" w:ascii="方正仿宋_GBK" w:hAnsi="宋体" w:eastAsia="方正仿宋_GBK"/>
          <w:color w:val="000000" w:themeColor="text1"/>
          <w:sz w:val="24"/>
          <w14:textFill>
            <w14:solidFill>
              <w14:schemeClr w14:val="tx1"/>
            </w14:solidFill>
          </w14:textFill>
        </w:rPr>
      </w:pPr>
    </w:p>
    <w:p>
      <w:pPr>
        <w:numPr>
          <w:ilvl w:val="0"/>
          <w:numId w:val="1"/>
        </w:numPr>
        <w:spacing w:line="480" w:lineRule="exact"/>
        <w:ind w:firstLine="480" w:firstLineChars="200"/>
        <w:rPr>
          <w:rFonts w:hint="default" w:ascii="方正仿宋_GBK" w:hAnsi="宋体" w:eastAsia="方正仿宋_GBK"/>
          <w:color w:val="FF0000"/>
          <w:sz w:val="24"/>
          <w:lang w:val="en-US" w:eastAsia="zh-CN"/>
        </w:rPr>
      </w:pPr>
      <w:r>
        <w:rPr>
          <w:rFonts w:hint="eastAsia" w:ascii="方正仿宋_GBK" w:hAnsi="宋体" w:eastAsia="方正仿宋_GBK"/>
          <w:color w:val="000000" w:themeColor="text1"/>
          <w:sz w:val="24"/>
          <w14:textFill>
            <w14:solidFill>
              <w14:schemeClr w14:val="tx1"/>
            </w14:solidFill>
          </w14:textFill>
        </w:rPr>
        <w:t>技术规格及质量要求</w:t>
      </w:r>
    </w:p>
    <w:p>
      <w:pPr>
        <w:snapToGrid w:val="0"/>
        <w:spacing w:line="380" w:lineRule="exact"/>
        <w:ind w:firstLine="480" w:firstLineChars="200"/>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（一）院内体检系统流程再造</w:t>
      </w:r>
    </w:p>
    <w:p>
      <w:pPr>
        <w:snapToGrid w:val="0"/>
        <w:spacing w:line="380" w:lineRule="exact"/>
        <w:ind w:leftChars="400" w:firstLine="482" w:firstLineChars="200"/>
        <w:rPr>
          <w:rFonts w:hint="eastAsia" w:ascii="方正仿宋_GBK" w:hAnsi="宋体" w:eastAsia="方正仿宋_GBK"/>
          <w:b/>
          <w:bCs/>
          <w:color w:val="auto"/>
          <w:sz w:val="24"/>
          <w:lang w:val="en-US" w:eastAsia="zh-CN"/>
        </w:rPr>
      </w:pPr>
      <w:r>
        <w:rPr>
          <w:rFonts w:hint="eastAsia" w:ascii="方正仿宋_GBK" w:hAnsi="宋体" w:eastAsia="方正仿宋_GBK"/>
          <w:b/>
          <w:bCs/>
          <w:color w:val="auto"/>
          <w:sz w:val="24"/>
          <w:lang w:val="en-US" w:eastAsia="zh-CN"/>
        </w:rPr>
        <w:t>总体要求：</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按照本院业务要求，需要对原有体检卡以及体检流程进行优化，实现体检卡制卡及流程优化，收费和制卡均需读取磁条卡才能进行费用登记和扣除，避免扣费漏洞，保障数据清晰、准确，且需要对历史数据进行纳入管理，对原数据进行合理迁移；废弃体检系统原有物价目录，直接采用HIS目录，且此目录支持体检系统再次打包，所有收费调用基础目录或打包目录，数据直接按照明细写入his系统，保证数据正向、逆向数据准确，且能够支持医保（若政策允许）；实现总检报告，系统支持体检科室出具的报告是一份完整的，涵盖各个模块的报告，包括并不限于his、lis、pacs、手麻等系统数据整合后的报告，且该报告不但能在his系统显示，且能够通过唯一URL读取并调用，以支持线上调阅。</w:t>
      </w:r>
    </w:p>
    <w:p>
      <w:pPr>
        <w:snapToGrid w:val="0"/>
        <w:spacing w:line="380" w:lineRule="exact"/>
        <w:ind w:left="840" w:leftChars="0" w:firstLine="420" w:firstLineChars="0"/>
        <w:rPr>
          <w:rFonts w:hint="default" w:ascii="方正仿宋_GBK" w:hAnsi="宋体" w:eastAsia="方正仿宋_GBK"/>
          <w:color w:val="auto"/>
          <w:sz w:val="24"/>
          <w:lang w:val="en-US" w:eastAsia="zh-CN"/>
        </w:rPr>
      </w:pPr>
      <w:r>
        <w:rPr>
          <w:rFonts w:hint="eastAsia" w:ascii="方正仿宋_GBK" w:hAnsi="宋体" w:eastAsia="方正仿宋_GBK"/>
          <w:b/>
          <w:bCs/>
          <w:color w:val="auto"/>
          <w:sz w:val="24"/>
          <w:lang w:val="en-US" w:eastAsia="zh-CN"/>
        </w:rPr>
        <w:t>具体要求</w:t>
      </w:r>
      <w:r>
        <w:rPr>
          <w:rFonts w:hint="eastAsia" w:ascii="方正仿宋_GBK" w:hAnsi="宋体" w:eastAsia="方正仿宋_GBK"/>
          <w:color w:val="auto"/>
          <w:sz w:val="24"/>
          <w:lang w:val="en-US" w:eastAsia="zh-CN"/>
        </w:rPr>
        <w:t>（至少但不限以下要求）：</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建卡建档：对于初次体检病人，记名卡-身份证识别唯一验证并串通整个业务、客户办理记名卡时需登记客户的详细信息和相关资料;不记名卡-没有身份证临时匿名注册的信息，客户办理不记名卡时无需提供任何个人信息，不记名卡可反复充值，不能挂失，不能办理销户手续;多用途卡-相当于vip用户，享有专门的及时的服务，进行全面的业务规划 ；</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2.建卡管理：注销、取消注销-对于实名卡，提供注销病人档案功能，并且可以取消注销，注销后不能使用（不能进行体检登记、预约登记、等在院业务）。注销和取消注销需要记录相应的操作，并且注销还需要在病人档案中记录注销人和注销时间。取消注销则需要去除注销人和注销时间。</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3.建卡日志查询：可根据档案查询到该档案的注销和取消注销的任何一次操作，体检卡修改、业务权限受理等 ；</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4.采用HIS物价打包收费：直接采用HIS系统物价项目进行打包,打包在HIS系统物价角色进行,和原打包模式保持一致，同时增加参数(体检用),以此来控制体检系统对包的过滤；</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5.实时更新物价目录：基础物价目录的停用会在诊疗项目里面标红提醒并不能正常保存；</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6.HIS、体检数据交互：实现同步开单实时缴费，同时医护人员在体检系统完成开单费用生成到HIS系统，实现实时缴费；</w:t>
      </w:r>
    </w:p>
    <w:p>
      <w:pPr>
        <w:snapToGrid w:val="0"/>
        <w:spacing w:line="380" w:lineRule="exact"/>
        <w:ind w:leftChars="400" w:firstLine="480" w:firstLineChars="200"/>
        <w:rPr>
          <w:rFonts w:hint="default"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7.总检报告：帮助总检医生根据系统自动产生的综述和建议，并稍做修改，快速给出总检结果，并且打印体检报告。此外可直接查看体检图像，历史体检数据，复检申请。提供URL定位病人总检报告，以适配后期线上调用。</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8.其他优化功能：按照采购人实际业务需求，进行适当程序调整。</w:t>
      </w:r>
    </w:p>
    <w:p>
      <w:pPr>
        <w:snapToGrid w:val="0"/>
        <w:spacing w:line="380" w:lineRule="exact"/>
        <w:ind w:leftChars="400" w:firstLine="482" w:firstLineChars="200"/>
        <w:rPr>
          <w:rFonts w:hint="eastAsia" w:ascii="方正仿宋_GBK" w:hAnsi="宋体" w:eastAsia="方正仿宋_GBK"/>
          <w:b/>
          <w:bCs/>
          <w:color w:val="auto"/>
          <w:sz w:val="24"/>
          <w:lang w:val="en-US" w:eastAsia="zh-CN"/>
        </w:rPr>
      </w:pPr>
      <w:r>
        <w:rPr>
          <w:rFonts w:hint="eastAsia" w:ascii="方正仿宋_GBK" w:hAnsi="宋体" w:eastAsia="方正仿宋_GBK"/>
          <w:b/>
          <w:bCs/>
          <w:color w:val="auto"/>
          <w:sz w:val="24"/>
          <w:lang w:val="en-US" w:eastAsia="zh-CN"/>
        </w:rPr>
        <w:t>质量要求：</w:t>
      </w:r>
    </w:p>
    <w:p>
      <w:pPr>
        <w:snapToGrid w:val="0"/>
        <w:spacing w:line="380" w:lineRule="exact"/>
        <w:ind w:leftChars="400" w:firstLine="480" w:firstLineChars="200"/>
        <w:rPr>
          <w:rFonts w:hint="default"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须在原系统上进行改造。</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w:t>
      </w:r>
      <w:r>
        <w:rPr>
          <w:rFonts w:hint="eastAsia" w:ascii="方正仿宋_GBK" w:hAnsi="宋体" w:eastAsia="方正仿宋_GBK"/>
          <w:color w:val="000000" w:themeColor="text1"/>
          <w:sz w:val="24"/>
          <w:lang w:eastAsia="zh-CN"/>
          <w14:textFill>
            <w14:solidFill>
              <w14:schemeClr w14:val="tx1"/>
            </w14:solidFill>
          </w14:textFill>
        </w:rPr>
        <w:t>其他</w:t>
      </w:r>
      <w:r>
        <w:rPr>
          <w:rFonts w:hint="eastAsia" w:ascii="方正仿宋_GBK" w:hAnsi="宋体" w:eastAsia="方正仿宋_GBK"/>
          <w:color w:val="000000" w:themeColor="text1"/>
          <w:sz w:val="24"/>
          <w14:textFill>
            <w14:solidFill>
              <w14:schemeClr w14:val="tx1"/>
            </w14:solidFill>
          </w14:textFill>
        </w:rPr>
        <w:t>要求</w:t>
      </w:r>
    </w:p>
    <w:p>
      <w:pPr>
        <w:numPr>
          <w:ilvl w:val="0"/>
          <w:numId w:val="2"/>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本项目验收合格后至少需承诺1年免费维护期，免费维护期内若上诉模块有任何需求变动，中标方应免费升级。</w:t>
      </w:r>
    </w:p>
    <w:p>
      <w:pPr>
        <w:numPr>
          <w:ilvl w:val="0"/>
          <w:numId w:val="2"/>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中标方应注意数据保密，需在合同中约定相关保密条款。</w:t>
      </w:r>
    </w:p>
    <w:p>
      <w:pPr>
        <w:widowControl/>
        <w:jc w:val="left"/>
        <w:rPr>
          <w:rFonts w:ascii="方正小标宋_GBK" w:hAnsi="宋体" w:eastAsia="方正小标宋_GBK"/>
          <w:color w:val="000000" w:themeColor="text1"/>
          <w:sz w:val="36"/>
          <w:szCs w:val="30"/>
          <w14:textFill>
            <w14:solidFill>
              <w14:schemeClr w14:val="tx1"/>
            </w14:solidFill>
          </w14:textFill>
        </w:rPr>
      </w:pPr>
    </w:p>
    <w:p>
      <w:pPr>
        <w:widowControl/>
        <w:jc w:val="left"/>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15</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numPr>
          <w:ilvl w:val="0"/>
          <w:numId w:val="0"/>
        </w:numPr>
        <w:spacing w:line="400" w:lineRule="exact"/>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四、</w:t>
      </w:r>
      <w:r>
        <w:rPr>
          <w:rFonts w:hint="eastAsia" w:ascii="方正仿宋_GBK" w:eastAsia="方正仿宋_GBK" w:cs="宋体" w:hAnsiTheme="minorEastAsia"/>
          <w:b/>
          <w:bCs/>
          <w:color w:val="000000" w:themeColor="text1"/>
          <w:sz w:val="24"/>
          <w14:textFill>
            <w14:solidFill>
              <w14:schemeClr w14:val="tx1"/>
            </w14:solidFill>
          </w14:textFill>
        </w:rPr>
        <w:t>验收方式：</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（1）本项目由采购人自行组织履约验收。</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（2）具体验收步骤：</w:t>
      </w:r>
    </w:p>
    <w:p>
      <w:pPr>
        <w:pStyle w:val="2"/>
        <w:ind w:firstLine="0"/>
        <w:rPr>
          <w:rFonts w:hint="eastAsia" w:ascii="方正仿宋_GBK" w:eastAsia="方正仿宋_GBK" w:cs="宋体" w:hAnsiTheme="minorEastAsia"/>
          <w:b/>
          <w:bCs/>
          <w:color w:val="auto"/>
          <w:sz w:val="24"/>
        </w:rPr>
      </w:pPr>
      <w:r>
        <w:rPr>
          <w:rFonts w:hint="eastAsia" w:cs="宋体"/>
          <w:kern w:val="0"/>
          <w:sz w:val="24"/>
          <w:szCs w:val="24"/>
          <w:lang w:val="en-US" w:eastAsia="zh-CN" w:bidi="ar-SA"/>
        </w:rPr>
        <w:t xml:space="preserve">      </w:t>
      </w:r>
      <w:r>
        <w:rPr>
          <w:rFonts w:hint="eastAsia" w:cs="宋体"/>
          <w:color w:val="auto"/>
          <w:kern w:val="0"/>
          <w:sz w:val="24"/>
          <w:szCs w:val="24"/>
          <w:lang w:val="en-US" w:eastAsia="zh-CN" w:bidi="ar-SA"/>
        </w:rPr>
        <w:t>体检系统升级改造交付后，由采购人组织验收，若中标人所供产品技术参数、改造、质量不符合采购文件要求，则验收不合格，采购人有权单方面终止合同，由此给中标人造成的损失由中标人自行承担，同时，采购人和使用单位因此造成的损失，均由中标人负责赔偿。</w:t>
      </w:r>
    </w:p>
    <w:p>
      <w:pPr>
        <w:numPr>
          <w:ilvl w:val="0"/>
          <w:numId w:val="0"/>
        </w:numPr>
        <w:spacing w:line="400" w:lineRule="exact"/>
        <w:ind w:leftChars="200"/>
        <w:rPr>
          <w:rFonts w:hint="eastAsia" w:ascii="方正仿宋_GBK" w:eastAsia="方正仿宋_GBK" w:cs="宋体" w:hAnsiTheme="minorEastAsia"/>
          <w:b/>
          <w:bCs/>
          <w:color w:val="000000" w:themeColor="text1"/>
          <w:sz w:val="24"/>
          <w14:textFill>
            <w14:solidFill>
              <w14:schemeClr w14:val="tx1"/>
            </w14:solidFill>
          </w14:textFill>
        </w:rPr>
      </w:pP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p>
    <w:p>
      <w:pPr>
        <w:spacing w:line="400" w:lineRule="exact"/>
        <w:ind w:firstLine="120" w:firstLineChars="50"/>
        <w:rPr>
          <w:rFonts w:hint="eastAsia" w:ascii="宋体" w:hAnsi="宋体" w:cs="宋体"/>
          <w:bCs/>
          <w:color w:val="000000"/>
          <w:kern w:val="0"/>
          <w:sz w:val="24"/>
          <w:szCs w:val="28"/>
          <w:lang w:val="en-US" w:eastAsia="zh-CN" w:bidi="ar-SA"/>
        </w:rPr>
      </w:pPr>
      <w:r>
        <w:rPr>
          <w:rFonts w:hint="eastAsia" w:ascii="宋体" w:hAnsi="宋体" w:cs="宋体"/>
          <w:bCs/>
          <w:color w:val="000000"/>
          <w:kern w:val="0"/>
          <w:sz w:val="24"/>
          <w:szCs w:val="28"/>
          <w:lang w:val="en-US" w:eastAsia="zh-CN" w:bidi="ar-SA"/>
        </w:rPr>
        <w:t>本次报价须为人民币报价，包含：产品价、人工费、安装调试费、税费、培训费等所有费用。因中标供应商自身原因造成漏报、少报皆由其自行承担责任，采购人不再补偿。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六、知识产权</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（1）在本招标文件生效日前已存在的版权及其他知识产权应属于本招标文件生效前既拥有该项权利的一方。本项目定制软件的源代码及软件系统版权均属于采购人所有。</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（2）运营成果归属清晰原则：全部或任何部分的运营产生的数据所有权归采购人。成交人在不违背相关法律基础上可以开发利用并获得相关权益。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保护知识产权原则：成交人应当保证其有关履行本招标文件的任何行为，以及履行招标文件结束之后的任何涉及到本招标文件的行为，均不会侵犯任何第三方的知识产权。若因此发生任何争议、侵权，均应当由成交人独自承担全部责任，包括但不限于应当承担其自身及采购人为排除任何争议及/或瑕疵所应当或所需要支付的一切相关及/或由此引起的费用。</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（4）采购人将拥有其在本招标文件下所从事的所有工作(包括各类纸质文档，电子文档及其他可交付物)中所包含的或与之相关的全部版权、专利、商业秘密、商标和其他知识产权以及所有权和其他权益。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（5）未经采购人许可，成交人无权将软件、平台提供其他单位或个人使用。</w:t>
      </w:r>
    </w:p>
    <w:p>
      <w:pPr>
        <w:snapToGrid w:val="0"/>
        <w:spacing w:line="340" w:lineRule="atLeast"/>
        <w:ind w:firstLine="480" w:firstLineChars="200"/>
        <w:rPr>
          <w:rFonts w:hint="eastAsia" w:ascii="宋体" w:hAnsi="宋体" w:cs="宋体"/>
          <w:kern w:val="0"/>
          <w:sz w:val="24"/>
          <w:szCs w:val="24"/>
        </w:rPr>
      </w:pPr>
      <w:r>
        <w:rPr>
          <w:rFonts w:hint="eastAsia" w:ascii="宋体" w:hAnsi="宋体" w:eastAsia="宋体" w:cs="宋体"/>
          <w:kern w:val="0"/>
          <w:sz w:val="24"/>
          <w:szCs w:val="24"/>
        </w:rPr>
        <w:t>（注：若涉及软件开发等服务类项目知识产权的，知识产权归采购人所有。）</w:t>
      </w:r>
    </w:p>
    <w:p>
      <w:pPr>
        <w:spacing w:line="400" w:lineRule="exact"/>
        <w:ind w:firstLine="120" w:firstLineChars="50"/>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napToGrid w:val="0"/>
        <w:spacing w:line="340" w:lineRule="atLeast"/>
        <w:ind w:firstLine="480" w:firstLineChars="200"/>
        <w:rPr>
          <w:rFonts w:hint="eastAsia" w:ascii="宋体" w:hAnsi="宋体" w:cs="宋体"/>
          <w:kern w:val="0"/>
          <w:sz w:val="24"/>
          <w:szCs w:val="24"/>
        </w:rPr>
      </w:pPr>
      <w:r>
        <w:rPr>
          <w:rFonts w:hint="eastAsia" w:ascii="宋体" w:hAnsi="宋体" w:cs="宋体"/>
          <w:kern w:val="0"/>
          <w:sz w:val="24"/>
          <w:szCs w:val="24"/>
        </w:rPr>
        <w:t>（1）服务期内：7×24 小时运行保障服务：系统运行需配套建立7×24 小时运行保障体系加以支撑，以保障系统全时间段无故障不间断正常运转。</w:t>
      </w:r>
      <w:r>
        <w:rPr>
          <w:rFonts w:hint="eastAsia" w:ascii="宋体" w:hAnsi="宋体" w:cs="宋体"/>
          <w:kern w:val="0"/>
          <w:sz w:val="24"/>
          <w:szCs w:val="24"/>
          <w:lang w:val="en-US" w:eastAsia="zh-CN"/>
        </w:rPr>
        <w:t>并</w:t>
      </w:r>
      <w:r>
        <w:rPr>
          <w:rFonts w:hint="eastAsia" w:ascii="宋体" w:hAnsi="宋体" w:cs="宋体"/>
          <w:kern w:val="0"/>
          <w:sz w:val="24"/>
          <w:szCs w:val="24"/>
        </w:rPr>
        <w:t>提供与之配套的服务，具体包括：成交方设立服务热线，并在重庆市安排足额的本地维护人员提供7×24 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p>
      <w:pPr>
        <w:snapToGrid w:val="0"/>
        <w:spacing w:line="340" w:lineRule="atLeast"/>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（2）售后服务：需提供7*24小时热线及售后服务。</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bookmarkStart w:id="39" w:name="_Toc7358341"/>
      <w:r>
        <w:rPr>
          <w:rFonts w:hint="eastAsia" w:ascii="方正仿宋_GBK" w:eastAsia="方正仿宋_GBK" w:cs="宋体" w:hAnsiTheme="minorEastAsia"/>
          <w:b/>
          <w:bCs/>
          <w:color w:val="000000" w:themeColor="text1"/>
          <w:sz w:val="24"/>
          <w:lang w:eastAsia="zh-CN"/>
          <w14:textFill>
            <w14:solidFill>
              <w14:schemeClr w14:val="tx1"/>
            </w14:solidFill>
          </w14:textFill>
        </w:rPr>
        <w:t>八、</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升级改造</w:t>
      </w:r>
      <w:r>
        <w:rPr>
          <w:rFonts w:hint="eastAsia" w:ascii="宋体" w:hAnsi="宋体" w:eastAsia="宋体" w:cs="宋体"/>
          <w:bCs/>
          <w:color w:val="000000" w:themeColor="text1"/>
          <w:sz w:val="24"/>
          <w14:textFill>
            <w14:solidFill>
              <w14:schemeClr w14:val="tx1"/>
            </w14:solidFill>
          </w14:textFill>
        </w:rPr>
        <w:t>完成经验收合格后，成交供应商在向采购人提供发票，在30个工作日内，采购人支付</w:t>
      </w:r>
      <w:r>
        <w:rPr>
          <w:rFonts w:hint="eastAsia" w:ascii="宋体" w:hAnsi="宋体" w:eastAsia="宋体" w:cs="宋体"/>
          <w:bCs/>
          <w:color w:val="000000" w:themeColor="text1"/>
          <w:sz w:val="24"/>
          <w:lang w:val="en-US" w:eastAsia="zh-CN"/>
          <w14:textFill>
            <w14:solidFill>
              <w14:schemeClr w14:val="tx1"/>
            </w14:solidFill>
          </w14:textFill>
        </w:rPr>
        <w:t>95</w:t>
      </w:r>
      <w:r>
        <w:rPr>
          <w:rFonts w:hint="eastAsia" w:ascii="宋体" w:hAnsi="宋体" w:eastAsia="宋体" w:cs="宋体"/>
          <w:bCs/>
          <w:color w:val="000000" w:themeColor="text1"/>
          <w:sz w:val="24"/>
          <w14:textFill>
            <w14:solidFill>
              <w14:schemeClr w14:val="tx1"/>
            </w14:solidFill>
          </w14:textFill>
        </w:rPr>
        <w:t>%项目款；项目</w:t>
      </w:r>
      <w:r>
        <w:rPr>
          <w:rFonts w:hint="eastAsia" w:ascii="宋体" w:hAnsi="宋体" w:eastAsia="宋体" w:cs="宋体"/>
          <w:bCs/>
          <w:color w:val="000000" w:themeColor="text1"/>
          <w:sz w:val="24"/>
          <w:lang w:eastAsia="zh-CN"/>
          <w14:textFill>
            <w14:solidFill>
              <w14:schemeClr w14:val="tx1"/>
            </w14:solidFill>
          </w14:textFill>
        </w:rPr>
        <w:t>验收合格</w:t>
      </w:r>
      <w:r>
        <w:rPr>
          <w:rFonts w:hint="eastAsia" w:ascii="宋体" w:hAnsi="宋体" w:eastAsia="宋体" w:cs="宋体"/>
          <w:bCs/>
          <w:color w:val="000000" w:themeColor="text1"/>
          <w:sz w:val="24"/>
          <w14:textFill>
            <w14:solidFill>
              <w14:schemeClr w14:val="tx1"/>
            </w14:solidFill>
          </w14:textFill>
        </w:rPr>
        <w:t>一年后，采购人在15个工作日内</w:t>
      </w:r>
      <w:r>
        <w:rPr>
          <w:rFonts w:hint="eastAsia" w:ascii="宋体" w:hAnsi="宋体" w:eastAsia="宋体" w:cs="宋体"/>
          <w:bCs/>
          <w:color w:val="000000" w:themeColor="text1"/>
          <w:sz w:val="24"/>
          <w:lang w:eastAsia="zh-CN"/>
          <w14:textFill>
            <w14:solidFill>
              <w14:schemeClr w14:val="tx1"/>
            </w14:solidFill>
          </w14:textFill>
        </w:rPr>
        <w:t>无息</w:t>
      </w:r>
      <w:r>
        <w:rPr>
          <w:rFonts w:hint="eastAsia" w:ascii="宋体" w:hAnsi="宋体" w:eastAsia="宋体" w:cs="宋体"/>
          <w:bCs/>
          <w:color w:val="000000" w:themeColor="text1"/>
          <w:sz w:val="24"/>
          <w14:textFill>
            <w14:solidFill>
              <w14:schemeClr w14:val="tx1"/>
            </w14:solidFill>
          </w14:textFill>
        </w:rPr>
        <w:t>支付余下的</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%质保金。</w:t>
      </w:r>
    </w:p>
    <w:p>
      <w:pPr>
        <w:pStyle w:val="4"/>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39"/>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0" w:name="_Toc15825"/>
      <w:bookmarkStart w:id="41" w:name="_Toc492721015"/>
      <w:bookmarkStart w:id="42" w:name="_Toc497383742"/>
      <w:bookmarkStart w:id="43" w:name="_Toc493506298"/>
      <w:bookmarkStart w:id="44" w:name="_Toc7358342"/>
      <w:r>
        <w:rPr>
          <w:rFonts w:hint="eastAsia" w:ascii="方正仿宋_GBK" w:eastAsia="方正仿宋_GBK"/>
          <w:color w:val="000000" w:themeColor="text1"/>
          <w:sz w:val="24"/>
          <w:szCs w:val="24"/>
          <w14:textFill>
            <w14:solidFill>
              <w14:schemeClr w14:val="tx1"/>
            </w14:solidFill>
          </w14:textFill>
        </w:rPr>
        <w:t>一、资格审查</w:t>
      </w:r>
      <w:bookmarkEnd w:id="40"/>
      <w:bookmarkEnd w:id="41"/>
      <w:bookmarkEnd w:id="42"/>
      <w:bookmarkEnd w:id="43"/>
      <w:bookmarkEnd w:id="44"/>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5" w:name="_Toc492721018"/>
      <w:bookmarkStart w:id="46" w:name="_Toc11460"/>
      <w:bookmarkStart w:id="47" w:name="_Toc493506300"/>
      <w:bookmarkStart w:id="48" w:name="_Toc267320057"/>
      <w:bookmarkStart w:id="49" w:name="_Toc5041"/>
      <w:bookmarkStart w:id="50" w:name="_Toc492721017"/>
      <w:bookmarkStart w:id="51" w:name="_Toc529377003"/>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三、</w:t>
      </w:r>
      <w:bookmarkEnd w:id="45"/>
      <w:bookmarkEnd w:id="46"/>
      <w:bookmarkEnd w:id="47"/>
      <w:bookmarkEnd w:id="48"/>
      <w:bookmarkEnd w:id="49"/>
      <w:bookmarkEnd w:id="50"/>
      <w:bookmarkEnd w:id="51"/>
      <w:bookmarkStart w:id="52" w:name="_Toc102227320"/>
      <w:bookmarkStart w:id="53" w:name="_Toc342913394"/>
      <w:bookmarkStart w:id="54" w:name="_Toc20595"/>
      <w:bookmarkStart w:id="55" w:name="_Toc529377004"/>
      <w:r>
        <w:rPr>
          <w:rFonts w:hint="eastAsia" w:ascii="方正仿宋_GBK" w:eastAsia="方正仿宋_GBK"/>
          <w:b/>
          <w:color w:val="000000" w:themeColor="text1"/>
          <w:sz w:val="24"/>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bookmarkStart w:id="56" w:name="_Toc29543170"/>
      <w:r>
        <w:rPr>
          <w:rFonts w:hint="eastAsia" w:ascii="方正仿宋_GBK" w:eastAsia="方正仿宋_GBK"/>
          <w:b/>
          <w:color w:val="000000" w:themeColor="text1"/>
          <w:sz w:val="24"/>
          <w14:textFill>
            <w14:solidFill>
              <w14:schemeClr w14:val="tx1"/>
            </w14:solidFill>
          </w14:textFill>
        </w:rPr>
        <w:t>四、成交</w:t>
      </w:r>
      <w:bookmarkEnd w:id="52"/>
      <w:r>
        <w:rPr>
          <w:rFonts w:hint="eastAsia" w:ascii="方正仿宋_GBK" w:eastAsia="方正仿宋_GBK"/>
          <w:b/>
          <w:color w:val="000000" w:themeColor="text1"/>
          <w:sz w:val="24"/>
          <w14:textFill>
            <w14:solidFill>
              <w14:schemeClr w14:val="tx1"/>
            </w14:solidFill>
          </w14:textFill>
        </w:rPr>
        <w:t>原则</w:t>
      </w:r>
      <w:bookmarkEnd w:id="53"/>
      <w:bookmarkEnd w:id="56"/>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4"/>
      <w:bookmarkEnd w:id="55"/>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7" w:name="_Toc529377005"/>
      <w:bookmarkStart w:id="58" w:name="_Toc6904"/>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7"/>
      <w:bookmarkEnd w:id="58"/>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59" w:name="_Toc441065678"/>
      <w:bookmarkStart w:id="60" w:name="_Toc470533001"/>
      <w:bookmarkStart w:id="61" w:name="_Toc15419"/>
      <w:bookmarkStart w:id="62" w:name="_Toc7358347"/>
      <w:bookmarkStart w:id="63" w:name="_Toc12789059"/>
      <w:bookmarkStart w:id="64"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59"/>
      <w:bookmarkEnd w:id="60"/>
      <w:bookmarkEnd w:id="61"/>
      <w:bookmarkEnd w:id="62"/>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65" w:name="_Toc470533002"/>
      <w:bookmarkStart w:id="66" w:name="_Toc26170"/>
      <w:bookmarkStart w:id="67" w:name="_Toc7358348"/>
      <w:bookmarkStart w:id="68" w:name="_Toc441065679"/>
      <w:r>
        <w:rPr>
          <w:rFonts w:hint="eastAsia" w:ascii="方正仿宋_GBK" w:eastAsia="方正仿宋_GBK"/>
          <w:color w:val="000000" w:themeColor="text1"/>
          <w:sz w:val="24"/>
          <w:szCs w:val="24"/>
          <w14:textFill>
            <w14:solidFill>
              <w14:schemeClr w14:val="tx1"/>
            </w14:solidFill>
          </w14:textFill>
        </w:rPr>
        <w:t>一、投标人</w:t>
      </w:r>
      <w:bookmarkEnd w:id="65"/>
      <w:bookmarkEnd w:id="66"/>
      <w:bookmarkEnd w:id="67"/>
      <w:bookmarkEnd w:id="68"/>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3"/>
    <w:bookmarkEnd w:id="64"/>
    <w:p>
      <w:pPr>
        <w:pStyle w:val="4"/>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3"/>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4"/>
        <w:spacing w:before="0" w:after="0" w:line="360" w:lineRule="auto"/>
        <w:jc w:val="center"/>
        <w:rPr>
          <w:rFonts w:hint="eastAsia" w:ascii="方正小标宋_GBK" w:eastAsia="方正小标宋_GBK"/>
          <w:b w:val="0"/>
          <w:sz w:val="36"/>
          <w:szCs w:val="30"/>
        </w:rPr>
      </w:pPr>
      <w:bookmarkStart w:id="69" w:name="_Toc9538"/>
      <w:bookmarkStart w:id="70" w:name="_Toc12789072"/>
      <w:bookmarkStart w:id="71" w:name="_Toc6968"/>
      <w:bookmarkStart w:id="72" w:name="_Toc65660378"/>
      <w:bookmarkStart w:id="73" w:name="_Toc106034658"/>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69"/>
      <w:bookmarkEnd w:id="70"/>
      <w:bookmarkEnd w:id="71"/>
      <w:bookmarkEnd w:id="72"/>
      <w:bookmarkEnd w:id="73"/>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429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29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2</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3</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4</w:t>
            </w:r>
          </w:p>
        </w:tc>
        <w:tc>
          <w:tcPr>
            <w:tcW w:w="4290"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5</w:t>
            </w:r>
          </w:p>
        </w:tc>
        <w:tc>
          <w:tcPr>
            <w:tcW w:w="4290"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6</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7</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8</w:t>
            </w:r>
          </w:p>
        </w:tc>
        <w:tc>
          <w:tcPr>
            <w:tcW w:w="4290"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9</w:t>
            </w:r>
          </w:p>
        </w:tc>
        <w:tc>
          <w:tcPr>
            <w:tcW w:w="429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10</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宋体" w:eastAsia="方正仿宋_GBK"/>
          <w:sz w:val="24"/>
          <w:szCs w:val="24"/>
          <w:lang w:eastAsia="zh-CN"/>
        </w:rPr>
        <w:t>（参照项目一览表）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2"/>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谈判项目服务需求”中所列条款进行比较和响应；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ind w:firstLine="3255" w:firstLineChars="1550"/>
        <w:jc w:val="left"/>
        <w:rPr>
          <w:rFonts w:hint="eastAsia" w:ascii="方正小标宋简体" w:hAnsi="宋体" w:eastAsia="方正小标宋简体"/>
          <w:color w:val="000000" w:themeColor="text1"/>
          <w:sz w:val="44"/>
          <w:szCs w:val="44"/>
          <w14:textFill>
            <w14:solidFill>
              <w14:schemeClr w14:val="tx1"/>
            </w14:solidFill>
          </w14:textFill>
        </w:rPr>
      </w:pPr>
      <w:r>
        <w:rPr>
          <w:rFonts w:ascii="方正仿宋_GBK" w:hAnsi="宋体" w:eastAsia="方正仿宋_GBK"/>
        </w:rPr>
        <w:br w:type="page"/>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6"/>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重庆市江北区中医院竞争性谈判文件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77D0"/>
    <w:multiLevelType w:val="singleLevel"/>
    <w:tmpl w:val="920D77D0"/>
    <w:lvl w:ilvl="0" w:tentative="0">
      <w:start w:val="1"/>
      <w:numFmt w:val="chineseCounting"/>
      <w:suff w:val="nothing"/>
      <w:lvlText w:val="（%1）"/>
      <w:lvlJc w:val="left"/>
      <w:rPr>
        <w:rFonts w:hint="eastAsia"/>
      </w:rPr>
    </w:lvl>
  </w:abstractNum>
  <w:abstractNum w:abstractNumId="1">
    <w:nsid w:val="C8E977EC"/>
    <w:multiLevelType w:val="singleLevel"/>
    <w:tmpl w:val="C8E977E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6F2FCB"/>
    <w:rsid w:val="03AF6BF1"/>
    <w:rsid w:val="05883890"/>
    <w:rsid w:val="066606B5"/>
    <w:rsid w:val="08FE22AB"/>
    <w:rsid w:val="09694DA0"/>
    <w:rsid w:val="0AC36D84"/>
    <w:rsid w:val="0CFD5067"/>
    <w:rsid w:val="0DEB2968"/>
    <w:rsid w:val="0E10263A"/>
    <w:rsid w:val="0E372DD1"/>
    <w:rsid w:val="118247F4"/>
    <w:rsid w:val="11C95F9C"/>
    <w:rsid w:val="11FF3BBB"/>
    <w:rsid w:val="12744159"/>
    <w:rsid w:val="13426006"/>
    <w:rsid w:val="138C0FCE"/>
    <w:rsid w:val="15482858"/>
    <w:rsid w:val="15C16C66"/>
    <w:rsid w:val="16175528"/>
    <w:rsid w:val="161B48EC"/>
    <w:rsid w:val="17DF3AFA"/>
    <w:rsid w:val="190C0D42"/>
    <w:rsid w:val="19E00326"/>
    <w:rsid w:val="1BEB631D"/>
    <w:rsid w:val="1D84176F"/>
    <w:rsid w:val="1DCB5D55"/>
    <w:rsid w:val="1DEE2237"/>
    <w:rsid w:val="1F72495B"/>
    <w:rsid w:val="20014679"/>
    <w:rsid w:val="21B8088F"/>
    <w:rsid w:val="2208666C"/>
    <w:rsid w:val="22757967"/>
    <w:rsid w:val="22BF1FAF"/>
    <w:rsid w:val="24C60F6E"/>
    <w:rsid w:val="255F06ED"/>
    <w:rsid w:val="265C434B"/>
    <w:rsid w:val="26EE7E40"/>
    <w:rsid w:val="276A7814"/>
    <w:rsid w:val="283178B3"/>
    <w:rsid w:val="28B22266"/>
    <w:rsid w:val="28D33250"/>
    <w:rsid w:val="2AB3541E"/>
    <w:rsid w:val="2BB533C1"/>
    <w:rsid w:val="2D6F1F0F"/>
    <w:rsid w:val="2F307202"/>
    <w:rsid w:val="31FE3364"/>
    <w:rsid w:val="3220355E"/>
    <w:rsid w:val="32592EEF"/>
    <w:rsid w:val="332C5D6F"/>
    <w:rsid w:val="384F493A"/>
    <w:rsid w:val="389D1068"/>
    <w:rsid w:val="3954623F"/>
    <w:rsid w:val="39730C51"/>
    <w:rsid w:val="39F11534"/>
    <w:rsid w:val="3B00754F"/>
    <w:rsid w:val="3C60089E"/>
    <w:rsid w:val="3CC31EB2"/>
    <w:rsid w:val="3E330C0E"/>
    <w:rsid w:val="3F874C1D"/>
    <w:rsid w:val="40417D1F"/>
    <w:rsid w:val="42A53F6B"/>
    <w:rsid w:val="444C01E8"/>
    <w:rsid w:val="46AE2B45"/>
    <w:rsid w:val="47A93EAE"/>
    <w:rsid w:val="480F1237"/>
    <w:rsid w:val="485E23AA"/>
    <w:rsid w:val="498224EC"/>
    <w:rsid w:val="4AE03D6F"/>
    <w:rsid w:val="4D063625"/>
    <w:rsid w:val="4D1871CB"/>
    <w:rsid w:val="4E854A1D"/>
    <w:rsid w:val="4E8F13F8"/>
    <w:rsid w:val="54EF0E42"/>
    <w:rsid w:val="55E8108B"/>
    <w:rsid w:val="56055082"/>
    <w:rsid w:val="562415BA"/>
    <w:rsid w:val="56390D4C"/>
    <w:rsid w:val="56BB4DC7"/>
    <w:rsid w:val="57313890"/>
    <w:rsid w:val="57BE5105"/>
    <w:rsid w:val="58A92837"/>
    <w:rsid w:val="5D3E2967"/>
    <w:rsid w:val="5D4C39E9"/>
    <w:rsid w:val="5DA84284"/>
    <w:rsid w:val="5E664204"/>
    <w:rsid w:val="5E8F5FDF"/>
    <w:rsid w:val="5EE45F8E"/>
    <w:rsid w:val="5EF810A5"/>
    <w:rsid w:val="5F14157A"/>
    <w:rsid w:val="5F247CA9"/>
    <w:rsid w:val="62716F45"/>
    <w:rsid w:val="629A329F"/>
    <w:rsid w:val="64CA0F84"/>
    <w:rsid w:val="64DB0676"/>
    <w:rsid w:val="64EE7FD0"/>
    <w:rsid w:val="678E38B3"/>
    <w:rsid w:val="67B6713B"/>
    <w:rsid w:val="67EF24E0"/>
    <w:rsid w:val="69200B40"/>
    <w:rsid w:val="69365D27"/>
    <w:rsid w:val="6BAA3C9A"/>
    <w:rsid w:val="6F8A1A3C"/>
    <w:rsid w:val="70875457"/>
    <w:rsid w:val="70926DFA"/>
    <w:rsid w:val="733E232D"/>
    <w:rsid w:val="74087BBC"/>
    <w:rsid w:val="769B1B90"/>
    <w:rsid w:val="77112CC8"/>
    <w:rsid w:val="78E41F1E"/>
    <w:rsid w:val="7AE06D3D"/>
    <w:rsid w:val="7DA41F58"/>
    <w:rsid w:val="7DEF0209"/>
    <w:rsid w:val="7F69348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link w:val="25"/>
    <w:qFormat/>
    <w:uiPriority w:val="0"/>
    <w:rPr>
      <w:sz w:val="32"/>
    </w:rPr>
  </w:style>
  <w:style w:type="paragraph" w:styleId="6">
    <w:name w:val="Normal Indent"/>
    <w:basedOn w:val="1"/>
    <w:qFormat/>
    <w:locked/>
    <w:uiPriority w:val="99"/>
    <w:pPr>
      <w:adjustRightInd w:val="0"/>
      <w:snapToGrid w:val="0"/>
      <w:spacing w:line="360" w:lineRule="auto"/>
      <w:ind w:firstLine="420"/>
    </w:pPr>
    <w:rPr>
      <w:sz w:val="24"/>
      <w:szCs w:val="20"/>
    </w:rPr>
  </w:style>
  <w:style w:type="paragraph" w:styleId="7">
    <w:name w:val="Body Text Indent"/>
    <w:basedOn w:val="1"/>
    <w:link w:val="26"/>
    <w:qFormat/>
    <w:uiPriority w:val="99"/>
    <w:pPr>
      <w:spacing w:after="120"/>
      <w:ind w:left="420" w:leftChars="200"/>
    </w:pPr>
  </w:style>
  <w:style w:type="paragraph" w:styleId="8">
    <w:name w:val="toc 3"/>
    <w:basedOn w:val="1"/>
    <w:next w:val="1"/>
    <w:qFormat/>
    <w:uiPriority w:val="99"/>
    <w:pPr>
      <w:ind w:left="400" w:leftChars="400"/>
    </w:pPr>
  </w:style>
  <w:style w:type="paragraph" w:styleId="9">
    <w:name w:val="Plain Text"/>
    <w:basedOn w:val="1"/>
    <w:qFormat/>
    <w:locked/>
    <w:uiPriority w:val="0"/>
    <w:rPr>
      <w:rFonts w:ascii="宋体" w:hAnsi="Courier New"/>
      <w:sz w:val="21"/>
    </w:rPr>
  </w:style>
  <w:style w:type="paragraph" w:styleId="10">
    <w:name w:val="Date"/>
    <w:basedOn w:val="1"/>
    <w:next w:val="1"/>
    <w:link w:val="33"/>
    <w:qFormat/>
    <w:locked/>
    <w:uiPriority w:val="0"/>
    <w:rPr>
      <w:sz w:val="28"/>
      <w:szCs w:val="20"/>
    </w:rPr>
  </w:style>
  <w:style w:type="paragraph" w:styleId="11">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2">
    <w:name w:val="Balloon Text"/>
    <w:basedOn w:val="1"/>
    <w:link w:val="28"/>
    <w:semiHidden/>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99"/>
    <w:pPr>
      <w:ind w:left="200" w:leftChars="200"/>
    </w:pPr>
  </w:style>
  <w:style w:type="paragraph" w:styleId="16">
    <w:name w:val="Normal (Web)"/>
    <w:basedOn w:val="1"/>
    <w:qFormat/>
    <w:uiPriority w:val="99"/>
    <w:pPr>
      <w:spacing w:before="100" w:beforeAutospacing="1" w:after="100" w:afterAutospacing="1"/>
      <w:jc w:val="left"/>
    </w:pPr>
    <w:rPr>
      <w:kern w:val="0"/>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Char"/>
    <w:basedOn w:val="19"/>
    <w:link w:val="4"/>
    <w:qFormat/>
    <w:locked/>
    <w:uiPriority w:val="0"/>
    <w:rPr>
      <w:rFonts w:ascii="Cambria" w:hAnsi="Cambria" w:eastAsia="宋体" w:cs="Times New Roman"/>
      <w:b/>
      <w:bCs/>
      <w:sz w:val="32"/>
      <w:szCs w:val="32"/>
    </w:rPr>
  </w:style>
  <w:style w:type="character" w:customStyle="1" w:styleId="24">
    <w:name w:val="标题 3 Char"/>
    <w:basedOn w:val="19"/>
    <w:link w:val="5"/>
    <w:qFormat/>
    <w:locked/>
    <w:uiPriority w:val="0"/>
    <w:rPr>
      <w:rFonts w:cs="Times New Roman"/>
      <w:b/>
      <w:bCs/>
      <w:sz w:val="32"/>
      <w:szCs w:val="32"/>
    </w:rPr>
  </w:style>
  <w:style w:type="character" w:customStyle="1" w:styleId="25">
    <w:name w:val="正文文本 Char"/>
    <w:basedOn w:val="19"/>
    <w:link w:val="3"/>
    <w:semiHidden/>
    <w:qFormat/>
    <w:locked/>
    <w:uiPriority w:val="99"/>
    <w:rPr>
      <w:rFonts w:cs="Times New Roman"/>
      <w:sz w:val="24"/>
      <w:szCs w:val="24"/>
    </w:rPr>
  </w:style>
  <w:style w:type="character" w:customStyle="1" w:styleId="26">
    <w:name w:val="正文文本缩进 Char"/>
    <w:basedOn w:val="19"/>
    <w:link w:val="7"/>
    <w:semiHidden/>
    <w:qFormat/>
    <w:locked/>
    <w:uiPriority w:val="99"/>
    <w:rPr>
      <w:rFonts w:cs="Times New Roman"/>
      <w:sz w:val="24"/>
      <w:szCs w:val="24"/>
    </w:rPr>
  </w:style>
  <w:style w:type="character" w:customStyle="1" w:styleId="27">
    <w:name w:val="正文文本缩进 2 Char"/>
    <w:basedOn w:val="19"/>
    <w:link w:val="11"/>
    <w:semiHidden/>
    <w:qFormat/>
    <w:locked/>
    <w:uiPriority w:val="99"/>
    <w:rPr>
      <w:rFonts w:cs="Times New Roman"/>
      <w:sz w:val="24"/>
      <w:szCs w:val="24"/>
    </w:rPr>
  </w:style>
  <w:style w:type="character" w:customStyle="1" w:styleId="28">
    <w:name w:val="批注框文本 Char"/>
    <w:basedOn w:val="19"/>
    <w:link w:val="12"/>
    <w:semiHidden/>
    <w:qFormat/>
    <w:locked/>
    <w:uiPriority w:val="99"/>
    <w:rPr>
      <w:rFonts w:cs="Times New Roman"/>
      <w:sz w:val="2"/>
    </w:rPr>
  </w:style>
  <w:style w:type="character" w:customStyle="1" w:styleId="29">
    <w:name w:val="页脚 Char"/>
    <w:basedOn w:val="19"/>
    <w:link w:val="13"/>
    <w:semiHidden/>
    <w:qFormat/>
    <w:locked/>
    <w:uiPriority w:val="99"/>
    <w:rPr>
      <w:rFonts w:cs="Times New Roman"/>
      <w:sz w:val="18"/>
      <w:szCs w:val="18"/>
    </w:rPr>
  </w:style>
  <w:style w:type="character" w:customStyle="1" w:styleId="30">
    <w:name w:val="页眉 Char"/>
    <w:basedOn w:val="19"/>
    <w:link w:val="14"/>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Char1"/>
    <w:basedOn w:val="19"/>
    <w:link w:val="10"/>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9"/>
    <w:qFormat/>
    <w:uiPriority w:val="0"/>
    <w:rPr>
      <w:rFonts w:ascii="宋体" w:hAnsi="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8268</Words>
  <Characters>8563</Characters>
  <Lines>61</Lines>
  <Paragraphs>17</Paragraphs>
  <TotalTime>0</TotalTime>
  <ScaleCrop>false</ScaleCrop>
  <LinksUpToDate>false</LinksUpToDate>
  <CharactersWithSpaces>8994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2022-10-30T14:21:33Z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B99EA3538D87495EBDC2CD2D46920FF8</vt:lpwstr>
  </property>
</Properties>
</file>