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eastAsia="黑体"/>
          <w:spacing w:val="80"/>
          <w:sz w:val="100"/>
          <w:szCs w:val="100"/>
        </w:rPr>
      </w:pPr>
      <w:r>
        <w:rPr>
          <w:rFonts w:hint="eastAsia" w:ascii="黑体" w:eastAsia="黑体"/>
          <w:spacing w:val="80"/>
          <w:sz w:val="100"/>
          <w:szCs w:val="100"/>
        </w:rPr>
        <w:t>竞争性磋商文件</w:t>
      </w:r>
    </w:p>
    <w:p>
      <w:pPr>
        <w:jc w:val="center"/>
        <w:outlineLvl w:val="0"/>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rPr>
          <w:sz w:val="32"/>
        </w:rPr>
      </w:pPr>
    </w:p>
    <w:p>
      <w:pPr>
        <w:spacing w:line="700" w:lineRule="exact"/>
        <w:rPr>
          <w:sz w:val="32"/>
        </w:rPr>
      </w:pPr>
    </w:p>
    <w:p>
      <w:pPr>
        <w:spacing w:line="700" w:lineRule="exact"/>
        <w:rPr>
          <w:sz w:val="32"/>
        </w:rPr>
      </w:pPr>
    </w:p>
    <w:p>
      <w:pPr>
        <w:spacing w:line="700" w:lineRule="exact"/>
        <w:rPr>
          <w:sz w:val="32"/>
        </w:rPr>
      </w:pPr>
    </w:p>
    <w:p>
      <w:pPr>
        <w:spacing w:line="700" w:lineRule="exact"/>
        <w:rPr>
          <w:sz w:val="32"/>
        </w:rPr>
      </w:pPr>
    </w:p>
    <w:p>
      <w:pPr>
        <w:spacing w:line="700" w:lineRule="exact"/>
        <w:rPr>
          <w:sz w:val="32"/>
        </w:rPr>
      </w:pPr>
    </w:p>
    <w:p>
      <w:pPr>
        <w:spacing w:line="700" w:lineRule="exact"/>
        <w:rPr>
          <w:sz w:val="32"/>
        </w:rPr>
      </w:pPr>
    </w:p>
    <w:p>
      <w:pPr>
        <w:spacing w:line="700" w:lineRule="exact"/>
        <w:rPr>
          <w:sz w:val="28"/>
          <w:szCs w:val="28"/>
        </w:rPr>
      </w:pPr>
    </w:p>
    <w:p>
      <w:pPr>
        <w:rPr>
          <w:rFonts w:ascii="方正小标宋_GBK" w:hAnsi="宋体" w:eastAsia="方正小标宋_GBK"/>
          <w:color w:val="000000"/>
          <w:sz w:val="32"/>
        </w:rPr>
      </w:pPr>
      <w:r>
        <w:rPr>
          <w:rFonts w:hint="eastAsia" w:ascii="宋体" w:hAnsi="宋体"/>
          <w:b/>
          <w:color w:val="000000"/>
          <w:sz w:val="28"/>
          <w:szCs w:val="28"/>
        </w:rPr>
        <w:t>项目名称</w:t>
      </w:r>
      <w:r>
        <w:rPr>
          <w:rFonts w:ascii="宋体" w:hAnsi="宋体"/>
          <w:b/>
          <w:color w:val="000000"/>
          <w:sz w:val="28"/>
          <w:szCs w:val="28"/>
        </w:rPr>
        <w:t xml:space="preserve">: </w:t>
      </w:r>
      <w:r>
        <w:rPr>
          <w:rFonts w:hint="eastAsia" w:ascii="方正小标宋_GBK" w:hAnsi="宋体" w:eastAsia="方正小标宋_GBK"/>
          <w:color w:val="000000"/>
          <w:sz w:val="32"/>
        </w:rPr>
        <w:t>重庆市江北区中医院自动监测站在线监测设备采购及运维服务项目</w:t>
      </w:r>
    </w:p>
    <w:p>
      <w:pPr>
        <w:spacing w:line="360" w:lineRule="auto"/>
        <w:rPr>
          <w:rFonts w:ascii="宋体"/>
          <w:b/>
          <w:color w:val="000000"/>
          <w:sz w:val="28"/>
          <w:szCs w:val="28"/>
          <w:u w:val="single"/>
        </w:rPr>
      </w:pPr>
      <w:r>
        <w:rPr>
          <w:rFonts w:hint="eastAsia" w:ascii="宋体" w:hAnsi="宋体"/>
          <w:b/>
          <w:color w:val="000000"/>
          <w:sz w:val="28"/>
          <w:szCs w:val="28"/>
        </w:rPr>
        <w:t>项目编号</w:t>
      </w:r>
      <w:r>
        <w:rPr>
          <w:rFonts w:ascii="宋体" w:hAnsi="宋体"/>
          <w:b/>
          <w:color w:val="000000"/>
          <w:sz w:val="28"/>
          <w:szCs w:val="28"/>
        </w:rPr>
        <w:t xml:space="preserve">: </w:t>
      </w:r>
      <w:r>
        <w:rPr>
          <w:rFonts w:ascii="宋体" w:hAnsi="宋体"/>
          <w:b/>
          <w:color w:val="000000"/>
          <w:sz w:val="28"/>
          <w:szCs w:val="28"/>
          <w:u w:val="single"/>
        </w:rPr>
        <w:t>20</w:t>
      </w:r>
      <w:r>
        <w:rPr>
          <w:rFonts w:hint="eastAsia" w:ascii="宋体" w:hAnsi="宋体"/>
          <w:b/>
          <w:color w:val="000000"/>
          <w:sz w:val="28"/>
          <w:szCs w:val="28"/>
          <w:u w:val="single"/>
        </w:rPr>
        <w:t>21</w:t>
      </w:r>
      <w:r>
        <w:rPr>
          <w:rFonts w:ascii="宋体" w:hAnsi="宋体"/>
          <w:b/>
          <w:color w:val="000000"/>
          <w:sz w:val="28"/>
          <w:szCs w:val="28"/>
          <w:u w:val="single"/>
        </w:rPr>
        <w:t>B0</w:t>
      </w:r>
      <w:r>
        <w:rPr>
          <w:rFonts w:hint="eastAsia" w:ascii="宋体" w:hAnsi="宋体"/>
          <w:b/>
          <w:color w:val="000000"/>
          <w:sz w:val="28"/>
          <w:szCs w:val="28"/>
          <w:u w:val="single"/>
        </w:rPr>
        <w:t>13</w:t>
      </w:r>
    </w:p>
    <w:p>
      <w:pPr>
        <w:spacing w:line="360" w:lineRule="auto"/>
        <w:rPr>
          <w:rFonts w:ascii="宋体"/>
          <w:color w:val="000000"/>
          <w:sz w:val="28"/>
          <w:szCs w:val="28"/>
          <w:u w:val="single"/>
        </w:rPr>
      </w:pPr>
      <w:r>
        <w:rPr>
          <w:rFonts w:hint="eastAsia" w:ascii="宋体" w:hAnsi="宋体"/>
          <w:b/>
          <w:color w:val="000000"/>
          <w:sz w:val="28"/>
          <w:szCs w:val="28"/>
        </w:rPr>
        <w:t>采购人</w:t>
      </w:r>
      <w:r>
        <w:rPr>
          <w:rFonts w:ascii="宋体" w:hAnsi="宋体"/>
          <w:b/>
          <w:color w:val="000000"/>
          <w:sz w:val="28"/>
          <w:szCs w:val="28"/>
        </w:rPr>
        <w:t xml:space="preserve">: </w:t>
      </w:r>
      <w:r>
        <w:rPr>
          <w:rFonts w:hint="eastAsia" w:ascii="宋体" w:hAnsi="宋体"/>
          <w:b/>
          <w:color w:val="000000"/>
          <w:sz w:val="28"/>
          <w:szCs w:val="28"/>
          <w:u w:val="single"/>
        </w:rPr>
        <w:t>重庆市江北区中医院</w:t>
      </w:r>
    </w:p>
    <w:p>
      <w:pPr>
        <w:spacing w:line="360" w:lineRule="auto"/>
        <w:rPr>
          <w:rFonts w:ascii="宋体"/>
          <w:b/>
          <w:color w:val="000000"/>
          <w:sz w:val="28"/>
          <w:szCs w:val="28"/>
        </w:rPr>
      </w:pPr>
      <w:r>
        <w:rPr>
          <w:rFonts w:hint="eastAsia" w:ascii="宋体" w:hAnsi="宋体"/>
          <w:b/>
          <w:color w:val="000000"/>
          <w:sz w:val="28"/>
          <w:szCs w:val="28"/>
        </w:rPr>
        <w:t>招标部门：</w:t>
      </w:r>
      <w:r>
        <w:rPr>
          <w:rFonts w:hint="eastAsia" w:ascii="宋体" w:hAnsi="宋体"/>
          <w:b/>
          <w:color w:val="000000"/>
          <w:sz w:val="28"/>
          <w:szCs w:val="28"/>
          <w:u w:val="single"/>
        </w:rPr>
        <w:t>总务科</w:t>
      </w:r>
    </w:p>
    <w:p>
      <w:pPr>
        <w:tabs>
          <w:tab w:val="left" w:pos="2860"/>
        </w:tabs>
        <w:spacing w:line="360" w:lineRule="auto"/>
        <w:rPr>
          <w:rFonts w:ascii="宋体"/>
          <w:b/>
          <w:color w:val="000000"/>
          <w:sz w:val="28"/>
          <w:szCs w:val="28"/>
        </w:rPr>
      </w:pPr>
      <w:r>
        <w:rPr>
          <w:rFonts w:hint="eastAsia" w:ascii="宋体" w:hAnsi="宋体"/>
          <w:b/>
          <w:color w:val="000000"/>
          <w:sz w:val="28"/>
          <w:szCs w:val="28"/>
        </w:rPr>
        <w:t>日　期：</w:t>
      </w:r>
      <w:r>
        <w:rPr>
          <w:rFonts w:hint="eastAsia" w:ascii="宋体" w:hAnsi="宋体"/>
          <w:b/>
          <w:color w:val="000000"/>
          <w:sz w:val="28"/>
          <w:szCs w:val="28"/>
          <w:u w:val="single"/>
        </w:rPr>
        <w:t>二</w:t>
      </w:r>
      <w:r>
        <w:rPr>
          <w:rFonts w:ascii="宋体" w:hAnsi="宋体"/>
          <w:b/>
          <w:color w:val="000000"/>
          <w:sz w:val="28"/>
          <w:szCs w:val="28"/>
          <w:u w:val="single"/>
        </w:rPr>
        <w:t>O</w:t>
      </w:r>
      <w:r>
        <w:rPr>
          <w:rFonts w:hint="eastAsia" w:ascii="宋体" w:hAnsi="宋体"/>
          <w:b/>
          <w:color w:val="000000"/>
          <w:sz w:val="28"/>
          <w:szCs w:val="28"/>
          <w:u w:val="single"/>
        </w:rPr>
        <w:t>二一年十一月</w:t>
      </w:r>
    </w:p>
    <w:p>
      <w:pPr>
        <w:tabs>
          <w:tab w:val="left" w:pos="2860"/>
        </w:tabs>
        <w:spacing w:line="360" w:lineRule="auto"/>
        <w:rPr>
          <w:szCs w:val="21"/>
        </w:rPr>
      </w:pPr>
    </w:p>
    <w:p>
      <w:pPr>
        <w:rPr>
          <w:szCs w:val="21"/>
        </w:rPr>
      </w:pPr>
    </w:p>
    <w:p>
      <w:pPr>
        <w:rPr>
          <w:szCs w:val="21"/>
        </w:rPr>
      </w:pPr>
    </w:p>
    <w:p>
      <w:pPr>
        <w:rPr>
          <w:szCs w:val="21"/>
        </w:rPr>
      </w:pPr>
    </w:p>
    <w:p>
      <w:pPr>
        <w:rPr>
          <w:szCs w:val="21"/>
        </w:rPr>
      </w:pPr>
    </w:p>
    <w:p>
      <w:pPr>
        <w:pStyle w:val="3"/>
        <w:spacing w:before="0" w:after="0" w:line="560" w:lineRule="exact"/>
        <w:jc w:val="center"/>
        <w:rPr>
          <w:rFonts w:ascii="黑体" w:hAnsi="黑体"/>
          <w:b w:val="0"/>
          <w:color w:val="000000"/>
        </w:rPr>
      </w:pPr>
      <w:bookmarkStart w:id="0" w:name="_Toc29543158"/>
      <w:bookmarkStart w:id="1" w:name="_Toc11641050"/>
      <w:bookmarkStart w:id="2" w:name="_Toc12789052"/>
    </w:p>
    <w:p/>
    <w:p>
      <w:pPr>
        <w:pStyle w:val="3"/>
        <w:spacing w:before="0" w:after="0" w:line="560" w:lineRule="exact"/>
        <w:jc w:val="center"/>
        <w:rPr>
          <w:rFonts w:ascii="黑体" w:hAnsi="黑体"/>
          <w:b w:val="0"/>
          <w:color w:val="000000" w:themeColor="text1"/>
        </w:rPr>
      </w:pPr>
      <w:r>
        <w:rPr>
          <w:rFonts w:hint="eastAsia" w:ascii="黑体" w:hAnsi="黑体"/>
          <w:b w:val="0"/>
          <w:color w:val="000000" w:themeColor="text1"/>
        </w:rPr>
        <w:t>第一篇  磋商邀请书</w:t>
      </w:r>
      <w:bookmarkEnd w:id="0"/>
      <w:bookmarkEnd w:id="1"/>
      <w:bookmarkEnd w:id="2"/>
    </w:p>
    <w:p>
      <w:pPr>
        <w:rPr>
          <w:rFonts w:cs="宋体"/>
          <w:szCs w:val="21"/>
        </w:rPr>
      </w:pPr>
      <w:r>
        <w:rPr>
          <w:rFonts w:hint="eastAsia" w:ascii="方正仿宋_GBK" w:hAnsi="宋体" w:eastAsia="方正仿宋_GBK"/>
          <w:color w:val="000000" w:themeColor="text1"/>
          <w:sz w:val="28"/>
          <w:szCs w:val="28"/>
        </w:rPr>
        <w:t xml:space="preserve">    </w:t>
      </w:r>
      <w:r>
        <w:rPr>
          <w:rFonts w:hint="eastAsia" w:cs="宋体"/>
          <w:szCs w:val="21"/>
        </w:rPr>
        <w:t>重庆市江北区中医院自动监测站站在线监测设备采购及运维服务项目进行竞争性磋商采购，欢迎有资格的供应商前来参与投标。</w:t>
      </w:r>
    </w:p>
    <w:p>
      <w:pPr>
        <w:pStyle w:val="4"/>
        <w:spacing w:before="0" w:after="0" w:line="560" w:lineRule="exact"/>
        <w:ind w:firstLine="422" w:firstLineChars="150"/>
        <w:rPr>
          <w:rFonts w:cs="宋体"/>
          <w:bCs w:val="0"/>
          <w:sz w:val="28"/>
          <w:szCs w:val="28"/>
        </w:rPr>
      </w:pPr>
      <w:bookmarkStart w:id="3" w:name="_Toc29543159"/>
      <w:bookmarkStart w:id="4" w:name="_Toc317775175"/>
      <w:bookmarkStart w:id="5" w:name="_Toc313893526"/>
      <w:r>
        <w:rPr>
          <w:rFonts w:hint="eastAsia" w:cs="宋体"/>
          <w:bCs w:val="0"/>
          <w:sz w:val="28"/>
          <w:szCs w:val="28"/>
        </w:rPr>
        <w:t>一、项目内容</w:t>
      </w:r>
      <w:bookmarkEnd w:id="3"/>
      <w:bookmarkEnd w:id="4"/>
      <w:bookmarkEnd w:id="5"/>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2"/>
        <w:gridCol w:w="1644"/>
        <w:gridCol w:w="1491"/>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35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szCs w:val="21"/>
              </w:rPr>
            </w:pPr>
            <w:r>
              <w:rPr>
                <w:rFonts w:hint="eastAsia" w:cs="宋体"/>
                <w:szCs w:val="21"/>
              </w:rPr>
              <w:t>项目名称</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分项采购预算</w:t>
            </w:r>
          </w:p>
          <w:p>
            <w:pPr>
              <w:spacing w:line="320" w:lineRule="exact"/>
              <w:jc w:val="center"/>
              <w:rPr>
                <w:rFonts w:cs="宋体"/>
                <w:szCs w:val="21"/>
              </w:rPr>
            </w:pPr>
            <w:r>
              <w:rPr>
                <w:rFonts w:hint="eastAsia" w:cs="宋体"/>
                <w:szCs w:val="21"/>
              </w:rPr>
              <w:t>（元）</w:t>
            </w: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合计采购预算</w:t>
            </w:r>
          </w:p>
          <w:p>
            <w:pPr>
              <w:spacing w:line="320" w:lineRule="exact"/>
              <w:jc w:val="center"/>
              <w:rPr>
                <w:rFonts w:cs="宋体"/>
                <w:szCs w:val="21"/>
              </w:rPr>
            </w:pPr>
            <w:r>
              <w:rPr>
                <w:rFonts w:hint="eastAsia" w:cs="宋体"/>
                <w:szCs w:val="21"/>
              </w:rPr>
              <w:t>（元）</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35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 w:val="24"/>
                <w:szCs w:val="28"/>
              </w:rPr>
            </w:pPr>
            <w:r>
              <w:rPr>
                <w:rFonts w:hint="eastAsia" w:cs="宋体"/>
                <w:szCs w:val="21"/>
              </w:rPr>
              <w:t>江北区中医院自动监测站在线监测设备及站房维修改造</w:t>
            </w:r>
          </w:p>
        </w:tc>
        <w:tc>
          <w:tcPr>
            <w:tcW w:w="16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
                <w:sz w:val="24"/>
                <w:szCs w:val="28"/>
              </w:rPr>
            </w:pPr>
            <w:r>
              <w:rPr>
                <w:rFonts w:hint="eastAsia" w:ascii="方正仿宋_GBK" w:eastAsia="方正仿宋_GBK"/>
                <w:b/>
                <w:sz w:val="24"/>
                <w:szCs w:val="28"/>
              </w:rPr>
              <w:t>189162.13</w:t>
            </w:r>
          </w:p>
        </w:tc>
        <w:tc>
          <w:tcPr>
            <w:tcW w:w="1491" w:type="dxa"/>
            <w:vMerge w:val="restart"/>
            <w:tcBorders>
              <w:top w:val="single" w:color="auto" w:sz="4" w:space="0"/>
              <w:left w:val="single" w:color="auto" w:sz="4" w:space="0"/>
              <w:right w:val="single" w:color="auto" w:sz="4" w:space="0"/>
            </w:tcBorders>
            <w:vAlign w:val="center"/>
          </w:tcPr>
          <w:p>
            <w:pPr>
              <w:spacing w:line="320" w:lineRule="exact"/>
              <w:jc w:val="center"/>
              <w:rPr>
                <w:rFonts w:ascii="方正仿宋_GBK" w:eastAsia="方正仿宋_GBK"/>
                <w:b/>
                <w:sz w:val="24"/>
              </w:rPr>
            </w:pPr>
            <w:r>
              <w:rPr>
                <w:rFonts w:hint="eastAsia" w:ascii="仿宋_GB2312" w:eastAsia="仿宋_GB2312"/>
                <w:b/>
                <w:bCs/>
                <w:sz w:val="24"/>
                <w:u w:val="single"/>
              </w:rPr>
              <w:t>264,162.13</w:t>
            </w:r>
          </w:p>
          <w:p>
            <w:pPr>
              <w:spacing w:line="320" w:lineRule="exact"/>
              <w:jc w:val="center"/>
              <w:rPr>
                <w:rFonts w:ascii="方正仿宋_GBK" w:eastAsia="方正仿宋_GBK"/>
                <w:b/>
                <w:sz w:val="24"/>
                <w:szCs w:val="28"/>
              </w:rPr>
            </w:pPr>
          </w:p>
        </w:tc>
        <w:tc>
          <w:tcPr>
            <w:tcW w:w="1441" w:type="dxa"/>
            <w:vMerge w:val="restart"/>
            <w:tcBorders>
              <w:top w:val="single" w:color="auto" w:sz="4" w:space="0"/>
              <w:left w:val="single" w:color="auto" w:sz="4" w:space="0"/>
              <w:right w:val="single" w:color="auto" w:sz="4" w:space="0"/>
            </w:tcBorders>
            <w:vAlign w:val="center"/>
          </w:tcPr>
          <w:p>
            <w:pPr>
              <w:spacing w:line="320" w:lineRule="exact"/>
              <w:jc w:val="center"/>
              <w:rPr>
                <w:rFonts w:ascii="方正仿宋_GBK" w:eastAsia="方正仿宋_GBK"/>
                <w:sz w:val="24"/>
                <w:szCs w:val="28"/>
              </w:rPr>
            </w:pPr>
            <w:r>
              <w:rPr>
                <w:rFonts w:hint="eastAsia" w:cs="宋体"/>
                <w:color w:val="FF0000"/>
                <w:szCs w:val="21"/>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35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szCs w:val="21"/>
              </w:rPr>
            </w:pPr>
            <w:r>
              <w:rPr>
                <w:rFonts w:hint="eastAsia" w:cs="宋体"/>
                <w:szCs w:val="21"/>
              </w:rPr>
              <w:t>自动监测站在线监测设备运维服务一年</w:t>
            </w:r>
          </w:p>
        </w:tc>
        <w:tc>
          <w:tcPr>
            <w:tcW w:w="16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b/>
                <w:szCs w:val="21"/>
              </w:rPr>
            </w:pPr>
            <w:r>
              <w:rPr>
                <w:rFonts w:hint="eastAsia" w:ascii="方正仿宋_GBK" w:eastAsia="方正仿宋_GBK"/>
                <w:b/>
                <w:sz w:val="24"/>
                <w:szCs w:val="28"/>
              </w:rPr>
              <w:t>75000.00</w:t>
            </w:r>
          </w:p>
        </w:tc>
        <w:tc>
          <w:tcPr>
            <w:tcW w:w="1491" w:type="dxa"/>
            <w:vMerge w:val="continue"/>
            <w:tcBorders>
              <w:left w:val="single" w:color="auto" w:sz="4" w:space="0"/>
              <w:bottom w:val="single" w:color="auto" w:sz="4" w:space="0"/>
              <w:right w:val="single" w:color="auto" w:sz="4" w:space="0"/>
            </w:tcBorders>
            <w:vAlign w:val="center"/>
          </w:tcPr>
          <w:p>
            <w:pPr>
              <w:spacing w:line="320" w:lineRule="exact"/>
              <w:jc w:val="center"/>
              <w:rPr>
                <w:rFonts w:cs="宋体"/>
                <w:szCs w:val="21"/>
              </w:rPr>
            </w:pPr>
          </w:p>
        </w:tc>
        <w:tc>
          <w:tcPr>
            <w:tcW w:w="1441" w:type="dxa"/>
            <w:vMerge w:val="continue"/>
            <w:tcBorders>
              <w:left w:val="single" w:color="auto" w:sz="4" w:space="0"/>
              <w:bottom w:val="single" w:color="auto" w:sz="4" w:space="0"/>
              <w:right w:val="single" w:color="auto" w:sz="4" w:space="0"/>
            </w:tcBorders>
            <w:vAlign w:val="center"/>
          </w:tcPr>
          <w:p>
            <w:pPr>
              <w:jc w:val="center"/>
              <w:rPr>
                <w:rFonts w:cs="宋体"/>
                <w:szCs w:val="21"/>
              </w:rPr>
            </w:pPr>
          </w:p>
        </w:tc>
      </w:tr>
    </w:tbl>
    <w:p/>
    <w:p>
      <w:pPr>
        <w:pStyle w:val="22"/>
        <w:spacing w:line="560" w:lineRule="exact"/>
        <w:ind w:firstLine="560" w:firstLineChars="200"/>
        <w:rPr>
          <w:rFonts w:cs="宋体"/>
          <w:sz w:val="21"/>
          <w:szCs w:val="21"/>
        </w:rPr>
      </w:pPr>
      <w:bookmarkStart w:id="6" w:name="_Toc29543160"/>
      <w:bookmarkStart w:id="7" w:name="_Toc373860293"/>
      <w:bookmarkStart w:id="8" w:name="_Toc317775178"/>
      <w:r>
        <w:rPr>
          <w:rFonts w:hint="eastAsia" w:ascii="方正仿宋_GBK" w:eastAsia="方正仿宋_GBK"/>
          <w:b/>
          <w:color w:val="000000" w:themeColor="text1"/>
          <w:sz w:val="28"/>
          <w:szCs w:val="28"/>
        </w:rPr>
        <w:t>采购</w:t>
      </w:r>
      <w:r>
        <w:rPr>
          <w:rFonts w:hint="eastAsia" w:ascii="方正仿宋_GBK" w:eastAsia="方正仿宋_GBK"/>
          <w:b/>
          <w:color w:val="000000" w:themeColor="text1"/>
          <w:sz w:val="28"/>
          <w:szCs w:val="28"/>
          <w:lang w:eastAsia="zh-CN"/>
        </w:rPr>
        <w:t>服务</w:t>
      </w:r>
      <w:r>
        <w:rPr>
          <w:rFonts w:hint="eastAsia" w:ascii="方正仿宋_GBK" w:eastAsia="方正仿宋_GBK"/>
          <w:b/>
          <w:color w:val="000000" w:themeColor="text1"/>
          <w:sz w:val="28"/>
          <w:szCs w:val="28"/>
        </w:rPr>
        <w:t>期限为1年</w:t>
      </w:r>
      <w:r>
        <w:rPr>
          <w:rFonts w:hint="eastAsia" w:ascii="方正仿宋_GBK" w:eastAsia="方正仿宋_GBK"/>
          <w:b/>
          <w:color w:val="000000" w:themeColor="text1"/>
          <w:sz w:val="28"/>
          <w:szCs w:val="28"/>
          <w:lang w:eastAsia="zh-CN"/>
        </w:rPr>
        <w:t>（验收合格投入运行起算）</w:t>
      </w:r>
      <w:r>
        <w:rPr>
          <w:rFonts w:hint="eastAsia" w:cs="宋体"/>
          <w:sz w:val="21"/>
          <w:szCs w:val="21"/>
        </w:rPr>
        <w:t>。自动监测站在线监测设备运维服务合同期满后，经采购人考核合格，采购人可按照中标金额及要求与中标人续签合同</w:t>
      </w:r>
      <w:r>
        <w:rPr>
          <w:rFonts w:cs="宋体"/>
          <w:sz w:val="21"/>
          <w:szCs w:val="21"/>
        </w:rPr>
        <w:t xml:space="preserve">, </w:t>
      </w:r>
      <w:r>
        <w:rPr>
          <w:rFonts w:hint="eastAsia" w:cs="宋体"/>
          <w:sz w:val="21"/>
          <w:szCs w:val="21"/>
        </w:rPr>
        <w:t>但续签年限不超过</w:t>
      </w:r>
      <w:r>
        <w:rPr>
          <w:rFonts w:cs="宋体"/>
          <w:sz w:val="21"/>
          <w:szCs w:val="21"/>
        </w:rPr>
        <w:t>2</w:t>
      </w:r>
      <w:r>
        <w:rPr>
          <w:rFonts w:hint="eastAsia" w:cs="宋体"/>
          <w:sz w:val="21"/>
          <w:szCs w:val="21"/>
        </w:rPr>
        <w:t>年。</w:t>
      </w:r>
    </w:p>
    <w:p>
      <w:pPr>
        <w:pStyle w:val="4"/>
        <w:spacing w:before="0" w:after="0" w:line="560" w:lineRule="exact"/>
        <w:ind w:firstLine="562" w:firstLineChars="200"/>
        <w:rPr>
          <w:rFonts w:cs="宋体"/>
          <w:bCs w:val="0"/>
          <w:sz w:val="28"/>
          <w:szCs w:val="28"/>
        </w:rPr>
      </w:pPr>
      <w:r>
        <w:rPr>
          <w:rFonts w:hint="eastAsia" w:cs="宋体"/>
          <w:bCs w:val="0"/>
          <w:sz w:val="28"/>
          <w:szCs w:val="28"/>
        </w:rPr>
        <w:t>二、资金来源</w:t>
      </w:r>
      <w:bookmarkEnd w:id="6"/>
    </w:p>
    <w:p>
      <w:pPr>
        <w:pStyle w:val="4"/>
        <w:spacing w:before="0" w:after="0" w:line="560" w:lineRule="exact"/>
        <w:ind w:firstLine="420" w:firstLineChars="200"/>
        <w:rPr>
          <w:rFonts w:cs="宋体"/>
          <w:b w:val="0"/>
          <w:bCs w:val="0"/>
          <w:sz w:val="21"/>
          <w:szCs w:val="21"/>
        </w:rPr>
      </w:pPr>
      <w:bookmarkStart w:id="9" w:name="_Toc29543161"/>
      <w:r>
        <w:rPr>
          <w:rFonts w:hint="eastAsia" w:cs="宋体"/>
          <w:b w:val="0"/>
          <w:bCs w:val="0"/>
          <w:sz w:val="21"/>
          <w:szCs w:val="21"/>
        </w:rPr>
        <w:t>医院自筹，资金已到位。</w:t>
      </w:r>
      <w:bookmarkEnd w:id="9"/>
    </w:p>
    <w:p>
      <w:pPr>
        <w:pStyle w:val="4"/>
        <w:spacing w:before="0" w:after="0" w:line="560" w:lineRule="exact"/>
        <w:ind w:firstLine="562" w:firstLineChars="200"/>
        <w:rPr>
          <w:rFonts w:cs="宋体"/>
          <w:bCs w:val="0"/>
          <w:sz w:val="28"/>
          <w:szCs w:val="28"/>
        </w:rPr>
      </w:pPr>
      <w:bookmarkStart w:id="10" w:name="_Toc29543162"/>
      <w:r>
        <w:rPr>
          <w:rFonts w:hint="eastAsia" w:cs="宋体"/>
          <w:bCs w:val="0"/>
          <w:sz w:val="28"/>
          <w:szCs w:val="28"/>
        </w:rPr>
        <w:t>三、</w:t>
      </w:r>
      <w:bookmarkEnd w:id="10"/>
      <w:r>
        <w:rPr>
          <w:rFonts w:hint="eastAsia" w:cs="宋体"/>
          <w:bCs w:val="0"/>
          <w:sz w:val="28"/>
          <w:szCs w:val="28"/>
        </w:rPr>
        <w:t>供应商资格要求</w:t>
      </w:r>
    </w:p>
    <w:p>
      <w:pPr>
        <w:spacing w:line="560" w:lineRule="exact"/>
        <w:ind w:firstLine="420" w:firstLineChars="200"/>
        <w:rPr>
          <w:rFonts w:cs="宋体"/>
          <w:szCs w:val="21"/>
        </w:rPr>
      </w:pPr>
      <w:r>
        <w:rPr>
          <w:rFonts w:hint="eastAsia" w:cs="宋体"/>
          <w:szCs w:val="21"/>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（一）一般资格条件</w:t>
      </w:r>
    </w:p>
    <w:p>
      <w:pPr>
        <w:spacing w:line="560" w:lineRule="exact"/>
        <w:ind w:firstLine="420" w:firstLineChars="200"/>
        <w:rPr>
          <w:rFonts w:cs="宋体"/>
          <w:szCs w:val="21"/>
        </w:rPr>
      </w:pPr>
      <w:r>
        <w:rPr>
          <w:rFonts w:hint="eastAsia" w:cs="宋体"/>
          <w:szCs w:val="21"/>
        </w:rPr>
        <w:t>1.具有独立承担民事责任的能力；</w:t>
      </w:r>
    </w:p>
    <w:p>
      <w:pPr>
        <w:spacing w:line="560" w:lineRule="exact"/>
        <w:ind w:firstLine="420" w:firstLineChars="200"/>
        <w:rPr>
          <w:rFonts w:cs="宋体"/>
          <w:szCs w:val="21"/>
        </w:rPr>
      </w:pPr>
      <w:r>
        <w:rPr>
          <w:rFonts w:hint="eastAsia" w:cs="宋体"/>
          <w:szCs w:val="21"/>
        </w:rPr>
        <w:t>2.具有良好的商业信誉和健全的财务会计制度；</w:t>
      </w:r>
    </w:p>
    <w:p>
      <w:pPr>
        <w:spacing w:line="560" w:lineRule="exact"/>
        <w:ind w:firstLine="420" w:firstLineChars="200"/>
        <w:rPr>
          <w:rFonts w:cs="宋体"/>
          <w:szCs w:val="21"/>
        </w:rPr>
      </w:pPr>
      <w:r>
        <w:rPr>
          <w:rFonts w:hint="eastAsia" w:cs="宋体"/>
          <w:szCs w:val="21"/>
        </w:rPr>
        <w:t>3.具有履行合同所必需的设备和专业技术能力；</w:t>
      </w:r>
    </w:p>
    <w:p>
      <w:pPr>
        <w:spacing w:line="560" w:lineRule="exact"/>
        <w:ind w:firstLine="420" w:firstLineChars="200"/>
        <w:rPr>
          <w:rFonts w:cs="宋体"/>
          <w:szCs w:val="21"/>
        </w:rPr>
      </w:pPr>
      <w:r>
        <w:rPr>
          <w:rFonts w:hint="eastAsia" w:cs="宋体"/>
          <w:szCs w:val="21"/>
        </w:rPr>
        <w:t>4.有依法缴纳税收和社会保障资金的良好记录；</w:t>
      </w:r>
    </w:p>
    <w:p>
      <w:pPr>
        <w:spacing w:line="560" w:lineRule="exact"/>
        <w:ind w:firstLine="420" w:firstLineChars="200"/>
        <w:rPr>
          <w:rFonts w:cs="宋体"/>
          <w:szCs w:val="21"/>
        </w:rPr>
      </w:pPr>
      <w:r>
        <w:rPr>
          <w:rFonts w:hint="eastAsia" w:cs="宋体"/>
          <w:szCs w:val="21"/>
        </w:rPr>
        <w:t>5.参加政府采购活动前三年内，在经营活动中没有重大违法记录；</w:t>
      </w:r>
    </w:p>
    <w:p>
      <w:pPr>
        <w:spacing w:line="560" w:lineRule="exact"/>
        <w:ind w:firstLine="420" w:firstLineChars="200"/>
        <w:rPr>
          <w:rFonts w:cs="宋体"/>
          <w:szCs w:val="21"/>
        </w:rPr>
      </w:pPr>
      <w:r>
        <w:rPr>
          <w:rFonts w:hint="eastAsia" w:cs="宋体"/>
          <w:szCs w:val="21"/>
        </w:rPr>
        <w:t>6.法律、行政法规规定的其他条件。</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（二）特定资格条件</w:t>
      </w:r>
    </w:p>
    <w:p>
      <w:pPr>
        <w:autoSpaceDE w:val="0"/>
        <w:autoSpaceDN w:val="0"/>
        <w:adjustRightInd w:val="0"/>
        <w:spacing w:line="360" w:lineRule="auto"/>
        <w:ind w:firstLine="210" w:firstLineChars="100"/>
        <w:jc w:val="left"/>
        <w:rPr>
          <w:rFonts w:ascii="宋体" w:hAnsi="宋体" w:cs="宋体"/>
          <w:color w:val="000000"/>
          <w:kern w:val="0"/>
          <w:szCs w:val="21"/>
        </w:rPr>
      </w:pPr>
      <w:r>
        <w:rPr>
          <w:rFonts w:hint="eastAsia" w:ascii="宋体" w:hAnsi="宋体" w:cs="宋体"/>
          <w:szCs w:val="21"/>
        </w:rPr>
        <w:t>1、</w:t>
      </w:r>
      <w:bookmarkStart w:id="11" w:name="_Toc518027871"/>
      <w:r>
        <w:rPr>
          <w:rFonts w:hint="eastAsia" w:ascii="宋体" w:hAnsi="宋体" w:cs="宋体"/>
          <w:color w:val="000000"/>
          <w:kern w:val="0"/>
          <w:szCs w:val="21"/>
        </w:rPr>
        <w:t>营业执照中含有环保设备销售</w:t>
      </w:r>
      <w:r>
        <w:rPr>
          <w:rFonts w:hint="eastAsia" w:ascii="宋体" w:hAnsi="宋体" w:cs="宋体"/>
          <w:color w:val="000000"/>
          <w:kern w:val="0"/>
          <w:szCs w:val="21"/>
          <w:lang w:eastAsia="zh-Hans"/>
        </w:rPr>
        <w:t>或</w:t>
      </w:r>
      <w:r>
        <w:rPr>
          <w:rFonts w:hint="eastAsia" w:ascii="宋体" w:hAnsi="宋体" w:cs="宋体"/>
          <w:color w:val="000000"/>
          <w:kern w:val="0"/>
          <w:szCs w:val="21"/>
        </w:rPr>
        <w:t>含有</w:t>
      </w:r>
      <w:r>
        <w:rPr>
          <w:rFonts w:hint="eastAsia" w:ascii="宋体" w:hAnsi="宋体" w:cs="宋体"/>
          <w:color w:val="000000"/>
          <w:kern w:val="0"/>
          <w:szCs w:val="21"/>
          <w:lang w:eastAsia="zh-Hans"/>
        </w:rPr>
        <w:t>环境监测仪器仪表</w:t>
      </w:r>
      <w:r>
        <w:rPr>
          <w:rFonts w:hint="eastAsia" w:ascii="宋体" w:hAnsi="宋体" w:cs="宋体"/>
          <w:color w:val="000000"/>
          <w:kern w:val="0"/>
          <w:szCs w:val="21"/>
        </w:rPr>
        <w:t>销售。</w:t>
      </w:r>
    </w:p>
    <w:p>
      <w:pPr>
        <w:spacing w:line="360" w:lineRule="auto"/>
        <w:ind w:firstLine="420" w:firstLineChars="200"/>
        <w:rPr>
          <w:rFonts w:ascii="宋体" w:hAnsi="宋体" w:cs="宋体"/>
          <w:szCs w:val="21"/>
        </w:rPr>
      </w:pPr>
      <w:r>
        <w:rPr>
          <w:rFonts w:hint="eastAsia" w:ascii="宋体" w:hAnsi="宋体" w:cs="宋体"/>
          <w:szCs w:val="21"/>
        </w:rPr>
        <w:t>（复印件加盖供应商公章）。</w:t>
      </w:r>
      <w:bookmarkEnd w:id="11"/>
    </w:p>
    <w:p>
      <w:pPr>
        <w:autoSpaceDE w:val="0"/>
        <w:autoSpaceDN w:val="0"/>
        <w:adjustRightInd w:val="0"/>
        <w:spacing w:line="360" w:lineRule="auto"/>
        <w:ind w:firstLine="210" w:firstLineChars="100"/>
        <w:jc w:val="left"/>
        <w:rPr>
          <w:rFonts w:ascii="宋体" w:hAnsi="宋体" w:cs="宋体"/>
          <w:color w:val="000000"/>
          <w:kern w:val="0"/>
          <w:szCs w:val="21"/>
        </w:rPr>
      </w:pPr>
      <w:r>
        <w:rPr>
          <w:rFonts w:hint="eastAsia" w:ascii="宋体" w:hAnsi="宋体" w:cs="宋体"/>
          <w:szCs w:val="21"/>
        </w:rPr>
        <w:t>2、</w:t>
      </w:r>
      <w:r>
        <w:rPr>
          <w:rFonts w:hint="eastAsia" w:ascii="宋体" w:hAnsi="宋体" w:cs="宋体"/>
          <w:color w:val="000000"/>
          <w:kern w:val="0"/>
          <w:szCs w:val="21"/>
        </w:rPr>
        <w:t>供应商须具有污染源治理设施运行服务能力评价证书，评价类别与级别包含自动连续监测（水、气）运行服务能力三级及以上资质；</w:t>
      </w:r>
    </w:p>
    <w:p>
      <w:pPr>
        <w:autoSpaceDE w:val="0"/>
        <w:autoSpaceDN w:val="0"/>
        <w:adjustRightInd w:val="0"/>
        <w:spacing w:line="360" w:lineRule="auto"/>
        <w:ind w:firstLine="210" w:firstLineChars="100"/>
        <w:jc w:val="left"/>
        <w:rPr>
          <w:rFonts w:ascii="宋体" w:hAnsi="宋体" w:cs="宋体"/>
          <w:color w:val="000000"/>
          <w:kern w:val="0"/>
          <w:szCs w:val="21"/>
        </w:rPr>
      </w:pPr>
      <w:r>
        <w:rPr>
          <w:rFonts w:hint="eastAsia" w:ascii="宋体" w:hAnsi="宋体" w:cs="宋体"/>
          <w:color w:val="000000"/>
          <w:kern w:val="0"/>
          <w:szCs w:val="21"/>
        </w:rPr>
        <w:t>3、</w:t>
      </w:r>
      <w:r>
        <w:rPr>
          <w:rFonts w:hint="eastAsia" w:ascii="宋体" w:hAnsi="宋体" w:cs="宋体"/>
          <w:color w:val="000000"/>
          <w:kern w:val="0"/>
          <w:szCs w:val="21"/>
          <w:lang w:eastAsia="zh-Hans"/>
        </w:rPr>
        <w:t>投标供应商必须具备主要设备制造厂家对本项目直接授权的授权书</w:t>
      </w:r>
      <w:r>
        <w:rPr>
          <w:rFonts w:ascii="宋体" w:hAnsi="宋体" w:cs="宋体"/>
          <w:color w:val="000000"/>
          <w:kern w:val="0"/>
          <w:szCs w:val="21"/>
          <w:lang w:eastAsia="zh-Hans"/>
        </w:rPr>
        <w:t>、</w:t>
      </w:r>
      <w:r>
        <w:rPr>
          <w:rFonts w:hint="eastAsia" w:ascii="宋体" w:hAnsi="宋体" w:cs="宋体"/>
          <w:color w:val="000000"/>
          <w:kern w:val="0"/>
          <w:szCs w:val="21"/>
          <w:lang w:eastAsia="zh-Hans"/>
        </w:rPr>
        <w:t>售后服务承诺书原件（并加盖厂家鲜章</w:t>
      </w:r>
      <w:r>
        <w:rPr>
          <w:rFonts w:ascii="宋体" w:hAnsi="宋体" w:cs="宋体"/>
          <w:color w:val="000000"/>
          <w:kern w:val="0"/>
          <w:szCs w:val="21"/>
          <w:lang w:eastAsia="zh-Hans"/>
        </w:rPr>
        <w:t>，</w:t>
      </w:r>
      <w:r>
        <w:rPr>
          <w:rFonts w:hint="eastAsia" w:ascii="宋体" w:hAnsi="宋体" w:cs="宋体"/>
          <w:color w:val="000000"/>
          <w:kern w:val="0"/>
          <w:szCs w:val="21"/>
          <w:lang w:eastAsia="zh-Hans"/>
        </w:rPr>
        <w:t>原件备查）;</w:t>
      </w:r>
    </w:p>
    <w:p>
      <w:pPr>
        <w:pStyle w:val="4"/>
        <w:spacing w:before="0" w:after="0" w:line="560" w:lineRule="exact"/>
        <w:ind w:firstLine="562" w:firstLineChars="200"/>
        <w:rPr>
          <w:rFonts w:cs="宋体"/>
          <w:bCs w:val="0"/>
          <w:sz w:val="28"/>
          <w:szCs w:val="28"/>
        </w:rPr>
      </w:pPr>
      <w:bookmarkStart w:id="12" w:name="_Toc29543163"/>
      <w:r>
        <w:rPr>
          <w:rFonts w:hint="eastAsia" w:cs="宋体"/>
          <w:bCs w:val="0"/>
          <w:sz w:val="28"/>
          <w:szCs w:val="28"/>
        </w:rPr>
        <w:t>四、有关说明</w:t>
      </w:r>
      <w:bookmarkEnd w:id="7"/>
      <w:bookmarkEnd w:id="12"/>
    </w:p>
    <w:p>
      <w:pPr>
        <w:widowControl/>
        <w:spacing w:line="560" w:lineRule="exact"/>
        <w:ind w:firstLine="420" w:firstLineChars="200"/>
        <w:jc w:val="left"/>
        <w:rPr>
          <w:rFonts w:cs="宋体"/>
          <w:szCs w:val="21"/>
        </w:rPr>
      </w:pPr>
      <w:r>
        <w:rPr>
          <w:rFonts w:hint="eastAsia" w:cs="宋体"/>
          <w:szCs w:val="21"/>
        </w:rPr>
        <w:t>（一）凡有意参加磋商的供应商，请于公告发布之日</w:t>
      </w:r>
      <w:r>
        <w:rPr>
          <w:rFonts w:cs="宋体"/>
          <w:szCs w:val="21"/>
        </w:rPr>
        <w:t>20</w:t>
      </w:r>
      <w:r>
        <w:rPr>
          <w:rFonts w:hint="eastAsia" w:cs="宋体"/>
          <w:szCs w:val="21"/>
        </w:rPr>
        <w:t>21年</w:t>
      </w:r>
      <w:r>
        <w:rPr>
          <w:rFonts w:hint="eastAsia" w:cs="宋体"/>
          <w:szCs w:val="21"/>
          <w:lang w:val="en-US" w:eastAsia="zh-CN"/>
        </w:rPr>
        <w:t>11</w:t>
      </w:r>
      <w:r>
        <w:rPr>
          <w:rFonts w:hint="eastAsia" w:cs="宋体"/>
          <w:szCs w:val="21"/>
        </w:rPr>
        <w:t>月</w:t>
      </w:r>
      <w:r>
        <w:rPr>
          <w:rFonts w:hint="eastAsia" w:cs="宋体"/>
          <w:szCs w:val="21"/>
          <w:lang w:val="en-US" w:eastAsia="zh-CN"/>
        </w:rPr>
        <w:t>10</w:t>
      </w:r>
      <w:r>
        <w:rPr>
          <w:rFonts w:hint="eastAsia" w:cs="宋体"/>
          <w:szCs w:val="21"/>
        </w:rPr>
        <w:t>日起至提交首次响应文件截止时间之前，在重庆市政府采购云平台·服务超市</w:t>
      </w:r>
      <w:r>
        <w:rPr>
          <w:rFonts w:hint="eastAsia" w:cs="宋体"/>
          <w:b/>
          <w:color w:val="FF0000"/>
          <w:szCs w:val="21"/>
        </w:rPr>
        <w:t>（https://chinazhyc.zbj.com/）</w:t>
      </w:r>
      <w:r>
        <w:rPr>
          <w:rFonts w:hint="eastAsia" w:cs="宋体"/>
          <w:szCs w:val="21"/>
        </w:rPr>
        <w:t>或重庆市江北区中医院官网</w:t>
      </w:r>
      <w:r>
        <w:rPr>
          <w:rFonts w:hint="eastAsia" w:cs="宋体"/>
          <w:b/>
          <w:color w:val="FF0000"/>
          <w:szCs w:val="21"/>
        </w:rPr>
        <w:t>（</w:t>
      </w:r>
      <w:r>
        <w:rPr>
          <w:rFonts w:cs="宋体"/>
          <w:b/>
          <w:color w:val="FF0000"/>
          <w:szCs w:val="21"/>
        </w:rPr>
        <w:t>http</w:t>
      </w:r>
      <w:r>
        <w:rPr>
          <w:rFonts w:hint="eastAsia" w:cs="宋体"/>
          <w:b/>
          <w:color w:val="FF0000"/>
          <w:szCs w:val="21"/>
        </w:rPr>
        <w:t>s</w:t>
      </w:r>
      <w:r>
        <w:rPr>
          <w:rFonts w:cs="宋体"/>
          <w:b/>
          <w:color w:val="FF0000"/>
          <w:szCs w:val="21"/>
        </w:rPr>
        <w:t>://www.jbzyy.com</w:t>
      </w:r>
      <w:r>
        <w:rPr>
          <w:rFonts w:hint="eastAsia" w:cs="宋体"/>
          <w:b/>
          <w:color w:val="FF0000"/>
          <w:szCs w:val="21"/>
        </w:rPr>
        <w:t>）</w:t>
      </w:r>
      <w:r>
        <w:rPr>
          <w:rFonts w:hint="eastAsia" w:cs="宋体"/>
          <w:szCs w:val="21"/>
        </w:rPr>
        <w:t>上下载本项目招标文件以及补遗等开标前公布的所有项目资料</w:t>
      </w:r>
      <w:r>
        <w:rPr>
          <w:rFonts w:cs="宋体"/>
          <w:szCs w:val="21"/>
        </w:rPr>
        <w:t>,</w:t>
      </w:r>
      <w:r>
        <w:rPr>
          <w:rFonts w:hint="eastAsia" w:cs="宋体"/>
          <w:szCs w:val="21"/>
        </w:rPr>
        <w:t>无论供应商下载与否，均视为已知晓所有磋商内容。</w:t>
      </w:r>
    </w:p>
    <w:p>
      <w:pPr>
        <w:spacing w:line="560" w:lineRule="exact"/>
        <w:ind w:firstLine="420" w:firstLineChars="200"/>
        <w:rPr>
          <w:rFonts w:cs="宋体"/>
          <w:szCs w:val="21"/>
        </w:rPr>
      </w:pPr>
      <w:r>
        <w:rPr>
          <w:rFonts w:hint="eastAsia" w:cs="宋体"/>
          <w:szCs w:val="21"/>
        </w:rPr>
        <w:t>（二）供应商须满足以下要件，其响应文件才被接受：</w:t>
      </w:r>
    </w:p>
    <w:p>
      <w:pPr>
        <w:spacing w:line="560" w:lineRule="exact"/>
        <w:ind w:firstLine="525" w:firstLineChars="250"/>
        <w:rPr>
          <w:rFonts w:cs="宋体"/>
          <w:szCs w:val="21"/>
        </w:rPr>
      </w:pPr>
      <w:r>
        <w:rPr>
          <w:rFonts w:hint="eastAsia" w:cs="宋体"/>
          <w:szCs w:val="21"/>
        </w:rPr>
        <w:t>1</w:t>
      </w:r>
      <w:r>
        <w:rPr>
          <w:rFonts w:cs="宋体"/>
          <w:szCs w:val="21"/>
        </w:rPr>
        <w:t>.</w:t>
      </w:r>
      <w:r>
        <w:rPr>
          <w:rFonts w:hint="eastAsia" w:cs="宋体"/>
          <w:szCs w:val="21"/>
        </w:rPr>
        <w:t>按时线下递交了响应文件；</w:t>
      </w:r>
    </w:p>
    <w:p>
      <w:pPr>
        <w:spacing w:line="560" w:lineRule="exact"/>
        <w:ind w:firstLine="525" w:firstLineChars="250"/>
        <w:rPr>
          <w:rFonts w:cs="宋体"/>
          <w:szCs w:val="21"/>
        </w:rPr>
      </w:pPr>
      <w:r>
        <w:rPr>
          <w:rFonts w:hint="eastAsia" w:cs="宋体"/>
          <w:szCs w:val="21"/>
        </w:rPr>
        <w:t>2</w:t>
      </w:r>
      <w:r>
        <w:rPr>
          <w:rFonts w:cs="宋体"/>
          <w:szCs w:val="21"/>
        </w:rPr>
        <w:t>.</w:t>
      </w:r>
      <w:r>
        <w:rPr>
          <w:rFonts w:hint="eastAsia" w:cs="宋体"/>
          <w:szCs w:val="21"/>
        </w:rPr>
        <w:t>按时线下报名签到；</w:t>
      </w:r>
    </w:p>
    <w:p>
      <w:pPr>
        <w:spacing w:line="560" w:lineRule="exact"/>
        <w:ind w:firstLine="525" w:firstLineChars="250"/>
        <w:rPr>
          <w:rFonts w:cs="宋体"/>
          <w:szCs w:val="21"/>
        </w:rPr>
      </w:pPr>
      <w:r>
        <w:rPr>
          <w:rFonts w:hint="eastAsia" w:cs="宋体"/>
          <w:szCs w:val="21"/>
        </w:rPr>
        <w:t>3.在重庆市政府采购云平台·服务超市平台线上报名并上传响应文件。</w:t>
      </w:r>
    </w:p>
    <w:p>
      <w:pPr>
        <w:spacing w:line="560" w:lineRule="exact"/>
        <w:ind w:firstLine="420" w:firstLineChars="200"/>
        <w:rPr>
          <w:rFonts w:cs="宋体"/>
          <w:szCs w:val="21"/>
        </w:rPr>
      </w:pPr>
      <w:r>
        <w:rPr>
          <w:rFonts w:hint="eastAsia" w:cs="宋体"/>
          <w:szCs w:val="21"/>
        </w:rPr>
        <w:t>（三）线上报名时间：公告发布之日起至线下提交响应文件截止时间止。</w:t>
      </w:r>
    </w:p>
    <w:p>
      <w:pPr>
        <w:spacing w:line="560" w:lineRule="exact"/>
        <w:ind w:firstLine="420" w:firstLineChars="200"/>
        <w:rPr>
          <w:rFonts w:cs="宋体"/>
          <w:szCs w:val="21"/>
        </w:rPr>
      </w:pPr>
      <w:r>
        <w:rPr>
          <w:rFonts w:hint="eastAsia" w:cs="宋体"/>
          <w:szCs w:val="21"/>
        </w:rPr>
        <w:t>（四）响应文件提交地点：重庆市江北区中医院1号楼2105室</w:t>
      </w:r>
    </w:p>
    <w:p>
      <w:pPr>
        <w:spacing w:line="560" w:lineRule="exact"/>
        <w:ind w:firstLine="420" w:firstLineChars="200"/>
        <w:rPr>
          <w:rFonts w:cs="宋体"/>
          <w:szCs w:val="21"/>
        </w:rPr>
      </w:pPr>
      <w:r>
        <w:rPr>
          <w:rFonts w:hint="eastAsia" w:cs="宋体"/>
          <w:szCs w:val="21"/>
        </w:rPr>
        <w:t>（五）线下提交响应文件开始时间：2021年</w:t>
      </w:r>
      <w:r>
        <w:rPr>
          <w:rFonts w:hint="eastAsia" w:cs="宋体"/>
          <w:szCs w:val="21"/>
          <w:lang w:val="en-US" w:eastAsia="zh-CN"/>
        </w:rPr>
        <w:t>11</w:t>
      </w:r>
      <w:r>
        <w:rPr>
          <w:rFonts w:hint="eastAsia" w:cs="宋体"/>
          <w:szCs w:val="21"/>
        </w:rPr>
        <w:t>月</w:t>
      </w:r>
      <w:r>
        <w:rPr>
          <w:rFonts w:hint="eastAsia" w:cs="宋体"/>
          <w:szCs w:val="21"/>
          <w:lang w:val="en-US" w:eastAsia="zh-CN"/>
        </w:rPr>
        <w:t>16</w:t>
      </w:r>
      <w:r>
        <w:rPr>
          <w:rFonts w:hint="eastAsia" w:cs="宋体"/>
          <w:szCs w:val="21"/>
        </w:rPr>
        <w:t xml:space="preserve"> 日北京时间上午8:30</w:t>
      </w:r>
    </w:p>
    <w:p>
      <w:pPr>
        <w:spacing w:line="560" w:lineRule="exact"/>
        <w:ind w:firstLine="420" w:firstLineChars="200"/>
        <w:rPr>
          <w:rFonts w:cs="宋体"/>
          <w:szCs w:val="21"/>
        </w:rPr>
      </w:pPr>
      <w:r>
        <w:rPr>
          <w:rFonts w:hint="eastAsia" w:cs="宋体"/>
          <w:szCs w:val="21"/>
        </w:rPr>
        <w:t xml:space="preserve">      线下提交响应文件截止时间：2021年</w:t>
      </w:r>
      <w:r>
        <w:rPr>
          <w:rFonts w:hint="eastAsia" w:cs="宋体"/>
          <w:szCs w:val="21"/>
          <w:lang w:val="en-US" w:eastAsia="zh-CN"/>
        </w:rPr>
        <w:t>11</w:t>
      </w:r>
      <w:r>
        <w:rPr>
          <w:rFonts w:hint="eastAsia" w:cs="宋体"/>
          <w:szCs w:val="21"/>
        </w:rPr>
        <w:t>月</w:t>
      </w:r>
      <w:r>
        <w:rPr>
          <w:rFonts w:hint="eastAsia" w:cs="宋体"/>
          <w:szCs w:val="21"/>
          <w:lang w:val="en-US" w:eastAsia="zh-CN"/>
        </w:rPr>
        <w:t>16</w:t>
      </w:r>
      <w:r>
        <w:rPr>
          <w:rFonts w:hint="eastAsia" w:cs="宋体"/>
          <w:szCs w:val="21"/>
        </w:rPr>
        <w:t>日北京时间下午16:00</w:t>
      </w:r>
    </w:p>
    <w:p>
      <w:pPr>
        <w:spacing w:line="560" w:lineRule="exact"/>
        <w:ind w:firstLine="420" w:firstLineChars="200"/>
        <w:rPr>
          <w:rFonts w:cs="宋体"/>
          <w:szCs w:val="21"/>
        </w:rPr>
      </w:pPr>
      <w:r>
        <w:rPr>
          <w:rFonts w:hint="eastAsia" w:cs="宋体"/>
          <w:szCs w:val="21"/>
        </w:rPr>
        <w:t>（六）开标地点：重庆市江北区中医院1号楼21楼会议室</w:t>
      </w:r>
    </w:p>
    <w:p>
      <w:pPr>
        <w:spacing w:line="560" w:lineRule="exact"/>
        <w:ind w:firstLine="420" w:firstLineChars="200"/>
        <w:rPr>
          <w:rFonts w:cs="宋体"/>
          <w:szCs w:val="21"/>
        </w:rPr>
      </w:pPr>
      <w:r>
        <w:rPr>
          <w:rFonts w:hint="eastAsia" w:cs="宋体"/>
          <w:szCs w:val="21"/>
        </w:rPr>
        <w:t>（七）开标时间：2021年</w:t>
      </w:r>
      <w:r>
        <w:rPr>
          <w:rFonts w:hint="eastAsia" w:cs="宋体"/>
          <w:szCs w:val="21"/>
          <w:lang w:val="en-US" w:eastAsia="zh-CN"/>
        </w:rPr>
        <w:t>11</w:t>
      </w:r>
      <w:r>
        <w:rPr>
          <w:rFonts w:hint="eastAsia" w:cs="宋体"/>
          <w:szCs w:val="21"/>
        </w:rPr>
        <w:t>月</w:t>
      </w:r>
      <w:r>
        <w:rPr>
          <w:rFonts w:hint="eastAsia" w:cs="宋体"/>
          <w:szCs w:val="21"/>
          <w:lang w:val="en-US" w:eastAsia="zh-CN"/>
        </w:rPr>
        <w:t>17</w:t>
      </w:r>
      <w:bookmarkStart w:id="78" w:name="_GoBack"/>
      <w:bookmarkEnd w:id="78"/>
      <w:r>
        <w:rPr>
          <w:rFonts w:hint="eastAsia" w:cs="宋体"/>
          <w:szCs w:val="21"/>
        </w:rPr>
        <w:t xml:space="preserve"> 日北京时间</w:t>
      </w:r>
      <w:bookmarkEnd w:id="8"/>
      <w:bookmarkStart w:id="13" w:name="_Toc525047161"/>
      <w:bookmarkStart w:id="14" w:name="_Toc521053053"/>
      <w:bookmarkStart w:id="15" w:name="_Toc373860294"/>
      <w:r>
        <w:rPr>
          <w:rFonts w:hint="eastAsia" w:cs="宋体"/>
          <w:szCs w:val="21"/>
        </w:rPr>
        <w:t>下午14:30</w:t>
      </w:r>
    </w:p>
    <w:p>
      <w:pPr>
        <w:spacing w:line="560" w:lineRule="exact"/>
        <w:ind w:firstLine="562" w:firstLineChars="200"/>
        <w:rPr>
          <w:rFonts w:cs="宋体"/>
          <w:b/>
          <w:sz w:val="28"/>
          <w:szCs w:val="28"/>
        </w:rPr>
      </w:pPr>
      <w:r>
        <w:rPr>
          <w:rFonts w:hint="eastAsia" w:cs="宋体"/>
          <w:b/>
          <w:sz w:val="28"/>
          <w:szCs w:val="28"/>
        </w:rPr>
        <w:t>五、履约保证金</w:t>
      </w:r>
      <w:bookmarkEnd w:id="13"/>
      <w:bookmarkEnd w:id="14"/>
      <w:bookmarkEnd w:id="15"/>
    </w:p>
    <w:p>
      <w:pPr>
        <w:snapToGrid w:val="0"/>
        <w:spacing w:line="560" w:lineRule="exact"/>
        <w:ind w:firstLine="420" w:firstLineChars="200"/>
        <w:rPr>
          <w:rFonts w:cs="宋体"/>
          <w:szCs w:val="21"/>
        </w:rPr>
      </w:pPr>
      <w:r>
        <w:rPr>
          <w:rFonts w:hint="eastAsia" w:cs="宋体"/>
          <w:szCs w:val="21"/>
        </w:rPr>
        <w:t>（一）履约保证金：中标金额10%</w:t>
      </w:r>
    </w:p>
    <w:p>
      <w:pPr>
        <w:snapToGrid w:val="0"/>
        <w:spacing w:line="560" w:lineRule="exact"/>
        <w:ind w:firstLine="420" w:firstLineChars="200"/>
        <w:rPr>
          <w:rFonts w:cs="宋体"/>
          <w:szCs w:val="21"/>
        </w:rPr>
      </w:pPr>
      <w:r>
        <w:rPr>
          <w:rFonts w:hint="eastAsia" w:cs="宋体"/>
          <w:szCs w:val="21"/>
        </w:rPr>
        <w:t>履约保证金缴纳与退还：成交人应在接到成交通知后3个工作日内向采购人缴纳中标金额10%履约保证金，未按时缴纳的，采购单位有权取消其中标资格。合同履行完毕并经采购人验收合格后15个工作日内退还履约保证金。</w:t>
      </w:r>
    </w:p>
    <w:p>
      <w:pPr>
        <w:snapToGrid w:val="0"/>
        <w:spacing w:line="560" w:lineRule="exact"/>
        <w:ind w:firstLine="420" w:firstLineChars="200"/>
        <w:rPr>
          <w:rFonts w:cs="宋体"/>
          <w:szCs w:val="21"/>
        </w:rPr>
      </w:pPr>
      <w:r>
        <w:rPr>
          <w:rFonts w:hint="eastAsia" w:cs="宋体"/>
          <w:szCs w:val="21"/>
        </w:rPr>
        <w:t>户名：重庆市江北区中医院</w:t>
      </w:r>
    </w:p>
    <w:p>
      <w:pPr>
        <w:snapToGrid w:val="0"/>
        <w:spacing w:line="560" w:lineRule="exact"/>
        <w:ind w:firstLine="420" w:firstLineChars="200"/>
        <w:rPr>
          <w:rFonts w:cs="宋体"/>
          <w:szCs w:val="21"/>
        </w:rPr>
      </w:pPr>
      <w:r>
        <w:rPr>
          <w:rFonts w:hint="eastAsia" w:cs="宋体"/>
          <w:szCs w:val="21"/>
        </w:rPr>
        <w:t>开户行：建设银行江北蔚蓝世纪支行</w:t>
      </w:r>
    </w:p>
    <w:p>
      <w:pPr>
        <w:snapToGrid w:val="0"/>
        <w:spacing w:line="560" w:lineRule="exact"/>
        <w:ind w:firstLine="420" w:firstLineChars="200"/>
        <w:rPr>
          <w:rFonts w:cs="宋体"/>
          <w:szCs w:val="21"/>
        </w:rPr>
      </w:pPr>
      <w:r>
        <w:rPr>
          <w:rFonts w:hint="eastAsia" w:cs="宋体"/>
          <w:szCs w:val="21"/>
        </w:rPr>
        <w:t>账号：</w:t>
      </w:r>
      <w:r>
        <w:rPr>
          <w:rFonts w:cs="宋体"/>
          <w:szCs w:val="21"/>
        </w:rPr>
        <w:t>50001064000050001684</w:t>
      </w:r>
    </w:p>
    <w:p>
      <w:pPr>
        <w:snapToGrid w:val="0"/>
        <w:spacing w:line="560" w:lineRule="exact"/>
        <w:ind w:firstLine="562" w:firstLineChars="200"/>
        <w:rPr>
          <w:rFonts w:cs="宋体"/>
          <w:b/>
          <w:sz w:val="28"/>
          <w:szCs w:val="28"/>
        </w:rPr>
      </w:pPr>
      <w:r>
        <w:rPr>
          <w:rFonts w:hint="eastAsia" w:cs="宋体"/>
          <w:b/>
          <w:sz w:val="28"/>
          <w:szCs w:val="28"/>
        </w:rPr>
        <w:t>六、投标有关规定</w:t>
      </w:r>
    </w:p>
    <w:p>
      <w:pPr>
        <w:snapToGrid w:val="0"/>
        <w:spacing w:line="560" w:lineRule="exact"/>
        <w:ind w:firstLine="420" w:firstLineChars="200"/>
        <w:rPr>
          <w:rFonts w:cs="宋体"/>
          <w:szCs w:val="21"/>
        </w:rPr>
      </w:pPr>
      <w:r>
        <w:rPr>
          <w:rFonts w:hint="eastAsia" w:cs="宋体"/>
          <w:szCs w:val="21"/>
        </w:rPr>
        <w:t>1、法定代表人为同一个人的两个及两个以上法人，母公司、全资子公司及其控股公司，都不得在同一分包的货物采购中同时参与磋商，否则均为无效磋商。</w:t>
      </w:r>
    </w:p>
    <w:p>
      <w:pPr>
        <w:snapToGrid w:val="0"/>
        <w:spacing w:line="560" w:lineRule="exact"/>
        <w:ind w:firstLine="420" w:firstLineChars="200"/>
        <w:rPr>
          <w:rFonts w:cs="宋体"/>
          <w:szCs w:val="21"/>
        </w:rPr>
      </w:pPr>
      <w:r>
        <w:rPr>
          <w:rFonts w:hint="eastAsia" w:cs="宋体"/>
          <w:szCs w:val="21"/>
        </w:rPr>
        <w:t>2、为采购项目提供整体设计、规范编制或者项目管理、监理、检测等服务的供应商，不得再参加该采购项目的其他采购活动。</w:t>
      </w:r>
    </w:p>
    <w:p>
      <w:pPr>
        <w:snapToGrid w:val="0"/>
        <w:spacing w:line="560" w:lineRule="exact"/>
        <w:ind w:firstLine="420" w:firstLineChars="200"/>
        <w:rPr>
          <w:rFonts w:cs="宋体"/>
          <w:szCs w:val="21"/>
        </w:rPr>
      </w:pPr>
      <w:r>
        <w:rPr>
          <w:rFonts w:hint="eastAsia" w:cs="宋体"/>
          <w:szCs w:val="21"/>
        </w:rPr>
        <w:t>3、超过响应文件截止时间递交的响应文件，恕不接收。</w:t>
      </w:r>
    </w:p>
    <w:p>
      <w:pPr>
        <w:snapToGrid w:val="0"/>
        <w:spacing w:line="560" w:lineRule="exact"/>
        <w:ind w:firstLine="420" w:firstLineChars="200"/>
        <w:rPr>
          <w:rFonts w:cs="宋体"/>
          <w:szCs w:val="21"/>
        </w:rPr>
      </w:pPr>
      <w:r>
        <w:rPr>
          <w:rFonts w:hint="eastAsia" w:cs="宋体"/>
          <w:szCs w:val="21"/>
        </w:rPr>
        <w:t>4、磋商费用：无论磋商结果如何，供应商参与本项目磋商的所有费用均应由供应商自行承担。</w:t>
      </w:r>
    </w:p>
    <w:p>
      <w:pPr>
        <w:snapToGrid w:val="0"/>
        <w:spacing w:line="560" w:lineRule="exact"/>
        <w:ind w:firstLine="420" w:firstLineChars="200"/>
        <w:rPr>
          <w:rFonts w:cs="宋体"/>
          <w:szCs w:val="21"/>
        </w:rPr>
      </w:pPr>
      <w:r>
        <w:rPr>
          <w:rFonts w:hint="eastAsia" w:cs="宋体"/>
          <w:szCs w:val="21"/>
        </w:rPr>
        <w:t>5、列入失信被执行人、重大税收违法案件当事人名单、政府采购严重违法失信行为记录名单等及其他不符合《中华人民共和国政府采购法》第二十二条规定条件的供应商，将拒绝其参与采购活动。</w:t>
      </w:r>
    </w:p>
    <w:p>
      <w:pPr>
        <w:snapToGrid w:val="0"/>
        <w:spacing w:line="560" w:lineRule="exact"/>
        <w:ind w:firstLine="420" w:firstLineChars="200"/>
        <w:rPr>
          <w:rFonts w:cs="宋体"/>
          <w:szCs w:val="21"/>
        </w:rPr>
      </w:pPr>
      <w:r>
        <w:rPr>
          <w:rFonts w:hint="eastAsia" w:cs="宋体"/>
          <w:szCs w:val="21"/>
        </w:rPr>
        <w:t>5.1 供应商可通过信用中国网站</w:t>
      </w:r>
      <w:r>
        <w:rPr>
          <w:rFonts w:hint="eastAsia" w:cs="宋体"/>
          <w:b/>
          <w:color w:val="FF0000"/>
          <w:szCs w:val="21"/>
        </w:rPr>
        <w:t>（www.creditchina.gov.cn）</w:t>
      </w:r>
      <w:r>
        <w:rPr>
          <w:rFonts w:hint="eastAsia" w:cs="宋体"/>
          <w:szCs w:val="21"/>
        </w:rPr>
        <w:t>查询以下内容</w:t>
      </w:r>
    </w:p>
    <w:p>
      <w:pPr>
        <w:snapToGrid w:val="0"/>
        <w:spacing w:line="560" w:lineRule="exact"/>
        <w:ind w:firstLine="420" w:firstLineChars="200"/>
        <w:rPr>
          <w:rFonts w:cs="宋体"/>
          <w:szCs w:val="21"/>
        </w:rPr>
      </w:pPr>
      <w:r>
        <w:rPr>
          <w:rFonts w:hint="eastAsia" w:cs="宋体"/>
          <w:szCs w:val="21"/>
        </w:rPr>
        <w:t>5.1.1“失信被执行人”；</w:t>
      </w:r>
    </w:p>
    <w:p>
      <w:pPr>
        <w:snapToGrid w:val="0"/>
        <w:spacing w:line="560" w:lineRule="exact"/>
        <w:ind w:firstLine="420" w:firstLineChars="200"/>
        <w:rPr>
          <w:rFonts w:cs="宋体"/>
          <w:szCs w:val="21"/>
        </w:rPr>
      </w:pPr>
      <w:r>
        <w:rPr>
          <w:rFonts w:hint="eastAsia" w:cs="宋体"/>
          <w:szCs w:val="21"/>
        </w:rPr>
        <w:t>5.1.2“重大税收违法案件当事人名单”；</w:t>
      </w:r>
    </w:p>
    <w:p>
      <w:pPr>
        <w:snapToGrid w:val="0"/>
        <w:spacing w:line="560" w:lineRule="exact"/>
        <w:ind w:firstLine="420" w:firstLineChars="200"/>
        <w:rPr>
          <w:rFonts w:cs="宋体"/>
          <w:szCs w:val="21"/>
        </w:rPr>
      </w:pPr>
      <w:r>
        <w:rPr>
          <w:rFonts w:hint="eastAsia" w:cs="宋体"/>
          <w:szCs w:val="21"/>
        </w:rPr>
        <w:t>5.1.3“政府采购严重违法失信行为记录名单”</w:t>
      </w:r>
    </w:p>
    <w:p>
      <w:pPr>
        <w:snapToGrid w:val="0"/>
        <w:spacing w:line="560" w:lineRule="exact"/>
        <w:ind w:firstLine="420" w:firstLineChars="200"/>
        <w:rPr>
          <w:rFonts w:cs="宋体"/>
          <w:szCs w:val="21"/>
        </w:rPr>
      </w:pPr>
      <w:r>
        <w:rPr>
          <w:rFonts w:hint="eastAsia" w:cs="宋体"/>
          <w:szCs w:val="21"/>
        </w:rPr>
        <w:t>6.本项目若有补遗文件一律在重庆市政府采购云平台·服务超市（https://chinazhyc.zbj.com/）和重庆市江北区中医院官网（</w:t>
      </w:r>
      <w:r>
        <w:rPr>
          <w:rFonts w:cs="宋体"/>
          <w:szCs w:val="21"/>
        </w:rPr>
        <w:t>http</w:t>
      </w:r>
      <w:r>
        <w:rPr>
          <w:rFonts w:hint="eastAsia" w:cs="宋体"/>
          <w:szCs w:val="21"/>
        </w:rPr>
        <w:t>s</w:t>
      </w:r>
      <w:r>
        <w:rPr>
          <w:rFonts w:cs="宋体"/>
          <w:szCs w:val="21"/>
        </w:rPr>
        <w:t>://www.jbzyy.com</w:t>
      </w:r>
      <w:r>
        <w:rPr>
          <w:rFonts w:hint="eastAsia" w:cs="宋体"/>
          <w:szCs w:val="21"/>
        </w:rPr>
        <w:t>）上发布，请各投标人注意下载，无论投标人是否下载，采购人视同投标人已收到项目补遗文件。</w:t>
      </w:r>
    </w:p>
    <w:p>
      <w:pPr>
        <w:snapToGrid w:val="0"/>
        <w:spacing w:line="560" w:lineRule="exact"/>
        <w:ind w:firstLine="562" w:firstLineChars="200"/>
        <w:rPr>
          <w:rFonts w:cs="宋体"/>
          <w:b/>
          <w:sz w:val="28"/>
          <w:szCs w:val="28"/>
        </w:rPr>
      </w:pPr>
      <w:r>
        <w:rPr>
          <w:rFonts w:hint="eastAsia" w:cs="宋体"/>
          <w:b/>
          <w:sz w:val="28"/>
          <w:szCs w:val="28"/>
        </w:rPr>
        <w:t>七、现场踏勘及技术询问</w:t>
      </w:r>
    </w:p>
    <w:p>
      <w:pPr>
        <w:snapToGrid w:val="0"/>
        <w:spacing w:line="560" w:lineRule="exact"/>
        <w:ind w:firstLine="420" w:firstLineChars="200"/>
        <w:rPr>
          <w:rFonts w:cs="宋体"/>
          <w:szCs w:val="21"/>
        </w:rPr>
      </w:pPr>
      <w:r>
        <w:rPr>
          <w:rFonts w:hint="eastAsia" w:cs="宋体"/>
          <w:szCs w:val="21"/>
        </w:rPr>
        <w:t>投标人需独立踏勘现场，本项目不组织集中踏勘。投标人应踏勘服务现场及周围环境，有技术问题也可向采购人询问，以便获取投标人须自已负责的有关编制投标文件和签署合同所需的所有资料。无论投标人是否踏勘过现场，均视为在递交投标文件之前已经踏勘现场，对本合同项目的风险和义务已经十分了解，并在其投标文件中已充分考虑了现场和环境条件。踏勘现场所发生的费用由投标人自行承担。</w:t>
      </w:r>
    </w:p>
    <w:p>
      <w:pPr>
        <w:snapToGrid w:val="0"/>
        <w:spacing w:line="560" w:lineRule="exact"/>
        <w:ind w:firstLine="562" w:firstLineChars="200"/>
        <w:rPr>
          <w:rFonts w:cs="宋体"/>
          <w:b/>
          <w:sz w:val="28"/>
          <w:szCs w:val="28"/>
        </w:rPr>
      </w:pPr>
      <w:r>
        <w:rPr>
          <w:rFonts w:hint="eastAsia" w:cs="宋体"/>
          <w:b/>
          <w:sz w:val="28"/>
          <w:szCs w:val="28"/>
        </w:rPr>
        <w:t>八、联系方式</w:t>
      </w:r>
    </w:p>
    <w:p>
      <w:pPr>
        <w:snapToGrid w:val="0"/>
        <w:spacing w:line="560" w:lineRule="exact"/>
        <w:ind w:firstLine="420" w:firstLineChars="200"/>
        <w:rPr>
          <w:rFonts w:cs="宋体"/>
          <w:szCs w:val="21"/>
        </w:rPr>
      </w:pPr>
      <w:r>
        <w:rPr>
          <w:rFonts w:hint="eastAsia" w:cs="宋体"/>
          <w:szCs w:val="21"/>
        </w:rPr>
        <w:t>采购人：重庆市江北区中医院</w:t>
      </w:r>
    </w:p>
    <w:p>
      <w:pPr>
        <w:snapToGrid w:val="0"/>
        <w:spacing w:line="560" w:lineRule="exact"/>
        <w:ind w:firstLine="420" w:firstLineChars="200"/>
        <w:rPr>
          <w:rFonts w:cs="宋体"/>
          <w:szCs w:val="21"/>
        </w:rPr>
      </w:pPr>
      <w:r>
        <w:rPr>
          <w:rFonts w:hint="eastAsia" w:cs="宋体"/>
          <w:szCs w:val="21"/>
        </w:rPr>
        <w:t>联系人：尚老师   文老师</w:t>
      </w:r>
    </w:p>
    <w:p>
      <w:pPr>
        <w:snapToGrid w:val="0"/>
        <w:spacing w:line="560" w:lineRule="exact"/>
        <w:ind w:firstLine="420" w:firstLineChars="200"/>
        <w:rPr>
          <w:rFonts w:cs="宋体"/>
          <w:szCs w:val="21"/>
        </w:rPr>
      </w:pPr>
      <w:r>
        <w:rPr>
          <w:rFonts w:hint="eastAsia" w:cs="宋体"/>
          <w:szCs w:val="21"/>
        </w:rPr>
        <w:t>电  话：（023）67739723  67561932</w:t>
      </w:r>
    </w:p>
    <w:p>
      <w:pPr>
        <w:snapToGrid w:val="0"/>
        <w:spacing w:line="560" w:lineRule="exact"/>
        <w:ind w:firstLine="420" w:firstLineChars="200"/>
        <w:rPr>
          <w:rFonts w:cs="宋体"/>
          <w:szCs w:val="21"/>
        </w:rPr>
      </w:pPr>
      <w:r>
        <w:rPr>
          <w:rFonts w:hint="eastAsia" w:cs="宋体"/>
          <w:szCs w:val="21"/>
        </w:rPr>
        <w:t>传  真：（023）67853980</w:t>
      </w:r>
    </w:p>
    <w:p>
      <w:pPr>
        <w:snapToGrid w:val="0"/>
        <w:spacing w:line="560" w:lineRule="exact"/>
        <w:ind w:firstLine="420" w:firstLineChars="200"/>
        <w:rPr>
          <w:rFonts w:cs="宋体"/>
          <w:szCs w:val="21"/>
        </w:rPr>
      </w:pPr>
      <w:r>
        <w:rPr>
          <w:rFonts w:hint="eastAsia" w:cs="宋体"/>
          <w:szCs w:val="21"/>
        </w:rPr>
        <w:t>地  址： 重庆市江北区建新东路一村35号</w:t>
      </w:r>
      <w:bookmarkStart w:id="16" w:name="_Toc102227313"/>
      <w:bookmarkStart w:id="17" w:name="_Toc29543164"/>
    </w:p>
    <w:p>
      <w:pPr>
        <w:pStyle w:val="3"/>
        <w:spacing w:before="0" w:after="0" w:line="560" w:lineRule="exact"/>
        <w:rPr>
          <w:rFonts w:ascii="Times New Roman" w:hAnsi="Times New Roman" w:eastAsia="宋体"/>
          <w:b w:val="0"/>
          <w:bCs w:val="0"/>
          <w:sz w:val="21"/>
          <w:szCs w:val="24"/>
        </w:rPr>
      </w:pPr>
    </w:p>
    <w:p/>
    <w:p>
      <w:pPr>
        <w:pStyle w:val="3"/>
        <w:spacing w:before="0" w:after="0" w:line="560" w:lineRule="exact"/>
        <w:jc w:val="center"/>
        <w:rPr>
          <w:rFonts w:ascii="黑体" w:hAnsi="黑体"/>
          <w:b w:val="0"/>
          <w:color w:val="000000" w:themeColor="text1"/>
        </w:rPr>
      </w:pPr>
    </w:p>
    <w:p>
      <w:pPr>
        <w:pStyle w:val="3"/>
        <w:spacing w:before="0" w:after="0" w:line="560" w:lineRule="exact"/>
        <w:jc w:val="center"/>
        <w:rPr>
          <w:rFonts w:ascii="黑体" w:hAnsi="黑体"/>
          <w:b w:val="0"/>
          <w:color w:val="000000" w:themeColor="text1"/>
        </w:rPr>
      </w:pPr>
    </w:p>
    <w:p>
      <w:pPr>
        <w:pStyle w:val="3"/>
        <w:spacing w:before="0" w:after="0" w:line="560" w:lineRule="exact"/>
        <w:jc w:val="center"/>
        <w:rPr>
          <w:rFonts w:ascii="黑体" w:hAnsi="黑体"/>
          <w:b w:val="0"/>
          <w:color w:val="000000" w:themeColor="text1"/>
        </w:rPr>
      </w:pPr>
    </w:p>
    <w:p>
      <w:pPr>
        <w:pStyle w:val="3"/>
        <w:spacing w:before="0" w:after="0" w:line="560" w:lineRule="exact"/>
        <w:jc w:val="center"/>
        <w:rPr>
          <w:rFonts w:ascii="黑体" w:hAnsi="黑体"/>
          <w:b w:val="0"/>
          <w:color w:val="000000" w:themeColor="text1"/>
        </w:rPr>
      </w:pPr>
    </w:p>
    <w:p>
      <w:pPr>
        <w:pStyle w:val="3"/>
        <w:spacing w:before="0" w:after="0" w:line="560" w:lineRule="exact"/>
        <w:jc w:val="center"/>
        <w:rPr>
          <w:rFonts w:ascii="黑体" w:hAnsi="黑体"/>
          <w:b w:val="0"/>
          <w:color w:val="000000" w:themeColor="text1"/>
        </w:rPr>
      </w:pPr>
    </w:p>
    <w:p>
      <w:pPr>
        <w:pStyle w:val="3"/>
        <w:spacing w:before="0" w:after="0" w:line="560" w:lineRule="exact"/>
        <w:jc w:val="center"/>
        <w:rPr>
          <w:rFonts w:ascii="黑体" w:hAnsi="黑体"/>
          <w:b w:val="0"/>
          <w:color w:val="000000" w:themeColor="text1"/>
        </w:rPr>
      </w:pPr>
    </w:p>
    <w:p>
      <w:pPr>
        <w:pStyle w:val="3"/>
        <w:spacing w:before="0" w:after="0" w:line="560" w:lineRule="exact"/>
        <w:jc w:val="center"/>
        <w:rPr>
          <w:rFonts w:ascii="黑体" w:hAnsi="黑体"/>
          <w:b w:val="0"/>
          <w:color w:val="000000" w:themeColor="text1"/>
        </w:rPr>
      </w:pPr>
    </w:p>
    <w:p>
      <w:pPr>
        <w:pStyle w:val="3"/>
        <w:spacing w:before="0" w:after="0" w:line="560" w:lineRule="exact"/>
        <w:jc w:val="center"/>
        <w:rPr>
          <w:rFonts w:ascii="黑体" w:hAnsi="黑体"/>
          <w:b w:val="0"/>
          <w:color w:val="000000" w:themeColor="text1"/>
        </w:rPr>
      </w:pPr>
    </w:p>
    <w:p>
      <w:pPr>
        <w:pStyle w:val="3"/>
        <w:spacing w:before="0" w:after="0" w:line="560" w:lineRule="exact"/>
        <w:jc w:val="center"/>
        <w:rPr>
          <w:rFonts w:ascii="黑体" w:hAnsi="黑体"/>
          <w:b w:val="0"/>
          <w:color w:val="000000" w:themeColor="text1"/>
        </w:rPr>
      </w:pPr>
    </w:p>
    <w:p>
      <w:pPr>
        <w:pStyle w:val="3"/>
        <w:spacing w:before="0" w:after="0" w:line="560" w:lineRule="exact"/>
        <w:jc w:val="center"/>
        <w:rPr>
          <w:rFonts w:ascii="黑体" w:hAnsi="黑体"/>
          <w:b w:val="0"/>
          <w:color w:val="000000" w:themeColor="text1"/>
        </w:rPr>
      </w:pPr>
    </w:p>
    <w:p/>
    <w:p/>
    <w:p/>
    <w:p>
      <w:pPr>
        <w:pStyle w:val="3"/>
        <w:spacing w:before="0" w:after="0" w:line="560" w:lineRule="exact"/>
        <w:jc w:val="center"/>
        <w:rPr>
          <w:rFonts w:ascii="黑体" w:hAnsi="黑体"/>
          <w:b w:val="0"/>
          <w:color w:val="000000" w:themeColor="text1"/>
        </w:rPr>
      </w:pPr>
    </w:p>
    <w:p/>
    <w:p/>
    <w:p>
      <w:pPr>
        <w:rPr>
          <w:rFonts w:ascii="黑体" w:hAnsi="黑体"/>
          <w:color w:val="000000" w:themeColor="text1"/>
        </w:rPr>
      </w:pPr>
      <w:r>
        <w:rPr>
          <w:rFonts w:hint="eastAsia" w:ascii="黑体" w:hAnsi="黑体"/>
          <w:color w:val="000000" w:themeColor="text1"/>
        </w:rPr>
        <w:br w:type="page"/>
      </w:r>
    </w:p>
    <w:p>
      <w:pPr>
        <w:pStyle w:val="3"/>
        <w:spacing w:before="0" w:after="0" w:line="560" w:lineRule="exact"/>
        <w:jc w:val="center"/>
        <w:rPr>
          <w:rFonts w:ascii="黑体" w:hAnsi="黑体"/>
          <w:b w:val="0"/>
          <w:color w:val="000000" w:themeColor="text1"/>
        </w:rPr>
      </w:pPr>
      <w:r>
        <w:rPr>
          <w:rFonts w:hint="eastAsia" w:ascii="黑体" w:hAnsi="黑体"/>
          <w:b w:val="0"/>
          <w:color w:val="000000" w:themeColor="text1"/>
        </w:rPr>
        <w:t>第二篇  供应商须知</w:t>
      </w:r>
      <w:bookmarkEnd w:id="16"/>
      <w:bookmarkEnd w:id="17"/>
    </w:p>
    <w:p>
      <w:pPr>
        <w:pStyle w:val="4"/>
        <w:spacing w:before="0" w:after="0" w:line="560" w:lineRule="exact"/>
        <w:ind w:firstLine="562" w:firstLineChars="200"/>
        <w:rPr>
          <w:rFonts w:cs="宋体"/>
          <w:bCs w:val="0"/>
          <w:sz w:val="28"/>
          <w:szCs w:val="28"/>
        </w:rPr>
      </w:pPr>
      <w:bookmarkStart w:id="18" w:name="_Toc29543165"/>
      <w:bookmarkStart w:id="19" w:name="_Toc342913389"/>
      <w:r>
        <w:rPr>
          <w:rFonts w:hint="eastAsia" w:cs="宋体"/>
          <w:bCs w:val="0"/>
          <w:sz w:val="28"/>
          <w:szCs w:val="28"/>
        </w:rPr>
        <w:t>一、磋商费用</w:t>
      </w:r>
      <w:bookmarkEnd w:id="18"/>
      <w:bookmarkEnd w:id="19"/>
    </w:p>
    <w:p>
      <w:pPr>
        <w:pStyle w:val="207"/>
        <w:spacing w:line="560" w:lineRule="exact"/>
        <w:ind w:firstLine="420" w:firstLineChars="200"/>
        <w:rPr>
          <w:rFonts w:ascii="Times New Roman" w:hAnsi="Times New Roman" w:cs="宋体"/>
          <w:szCs w:val="21"/>
        </w:rPr>
      </w:pPr>
      <w:r>
        <w:rPr>
          <w:rFonts w:hint="eastAsia" w:ascii="Times New Roman" w:hAnsi="Times New Roman" w:cs="宋体"/>
          <w:szCs w:val="21"/>
        </w:rPr>
        <w:t>参与磋商的供应商应承担其编制响应文件与递交响应文件所涉及的一切费用，不论磋商结果如何，采购人和采购代理机构在任何情况下无义务也无责任承担这些费用。</w:t>
      </w:r>
    </w:p>
    <w:p>
      <w:pPr>
        <w:pStyle w:val="4"/>
        <w:tabs>
          <w:tab w:val="left" w:pos="2640"/>
        </w:tabs>
        <w:spacing w:before="0" w:after="0" w:line="560" w:lineRule="exact"/>
        <w:ind w:firstLine="562" w:firstLineChars="200"/>
        <w:rPr>
          <w:rFonts w:cs="宋体"/>
          <w:bCs w:val="0"/>
          <w:sz w:val="28"/>
          <w:szCs w:val="28"/>
        </w:rPr>
      </w:pPr>
      <w:bookmarkStart w:id="20" w:name="_Toc342913391"/>
      <w:bookmarkStart w:id="21" w:name="_Toc29543166"/>
      <w:r>
        <w:rPr>
          <w:rFonts w:hint="eastAsia" w:cs="宋体"/>
          <w:bCs w:val="0"/>
          <w:sz w:val="28"/>
          <w:szCs w:val="28"/>
        </w:rPr>
        <w:t>二、竞争性磋商文件</w:t>
      </w:r>
      <w:bookmarkEnd w:id="20"/>
      <w:bookmarkEnd w:id="21"/>
      <w:r>
        <w:rPr>
          <w:rFonts w:hint="eastAsia" w:cs="宋体"/>
          <w:bCs w:val="0"/>
          <w:sz w:val="28"/>
          <w:szCs w:val="28"/>
        </w:rPr>
        <w:tab/>
      </w:r>
    </w:p>
    <w:p>
      <w:pPr>
        <w:snapToGrid w:val="0"/>
        <w:spacing w:line="560" w:lineRule="exact"/>
        <w:ind w:firstLine="315" w:firstLineChars="150"/>
        <w:rPr>
          <w:rFonts w:cs="宋体"/>
          <w:szCs w:val="21"/>
        </w:rPr>
      </w:pPr>
      <w:r>
        <w:rPr>
          <w:rFonts w:hint="eastAsia" w:cs="宋体"/>
          <w:szCs w:val="21"/>
        </w:rPr>
        <w:t>（一）竞争性磋商文件由竞争性磋商邀请书、供应商须知、磋商项目技术需求、磋商项目服务需求、合同草案条款、响应文件格式要求六部分组成。</w:t>
      </w:r>
    </w:p>
    <w:p>
      <w:pPr>
        <w:snapToGrid w:val="0"/>
        <w:spacing w:line="560" w:lineRule="exact"/>
        <w:ind w:firstLine="315" w:firstLineChars="150"/>
        <w:rPr>
          <w:rFonts w:cs="宋体"/>
          <w:szCs w:val="21"/>
        </w:rPr>
      </w:pPr>
      <w:r>
        <w:rPr>
          <w:rFonts w:hint="eastAsia" w:cs="宋体"/>
          <w:szCs w:val="21"/>
        </w:rPr>
        <w:t>（二）采购人（或采购代理机构）所作的一切有效的书面通知、修改及补充，都是竞争性磋商文件不可分割的部分。</w:t>
      </w:r>
    </w:p>
    <w:p>
      <w:pPr>
        <w:pStyle w:val="4"/>
        <w:spacing w:before="0" w:after="0" w:line="560" w:lineRule="exact"/>
        <w:ind w:firstLine="562" w:firstLineChars="200"/>
        <w:rPr>
          <w:rFonts w:cs="宋体"/>
          <w:bCs w:val="0"/>
          <w:sz w:val="28"/>
          <w:szCs w:val="28"/>
        </w:rPr>
      </w:pPr>
      <w:bookmarkStart w:id="22" w:name="_Toc29543167"/>
      <w:bookmarkStart w:id="23" w:name="_Toc342913392"/>
      <w:bookmarkStart w:id="24" w:name="_Toc179714297"/>
      <w:bookmarkStart w:id="25" w:name="_Toc102227318"/>
      <w:r>
        <w:rPr>
          <w:rFonts w:hint="eastAsia" w:cs="宋体"/>
          <w:bCs w:val="0"/>
          <w:sz w:val="28"/>
          <w:szCs w:val="28"/>
        </w:rPr>
        <w:t>三、磋商要求</w:t>
      </w:r>
      <w:bookmarkEnd w:id="22"/>
      <w:bookmarkEnd w:id="23"/>
      <w:bookmarkEnd w:id="24"/>
      <w:bookmarkEnd w:id="25"/>
    </w:p>
    <w:p>
      <w:pPr>
        <w:snapToGrid w:val="0"/>
        <w:spacing w:line="560" w:lineRule="exact"/>
        <w:ind w:firstLine="315" w:firstLineChars="150"/>
        <w:rPr>
          <w:rFonts w:cs="宋体"/>
          <w:szCs w:val="21"/>
        </w:rPr>
      </w:pPr>
      <w:r>
        <w:rPr>
          <w:rFonts w:hint="eastAsia" w:cs="宋体"/>
          <w:szCs w:val="21"/>
        </w:rPr>
        <w:t>（一）响应文件</w:t>
      </w:r>
    </w:p>
    <w:p>
      <w:pPr>
        <w:spacing w:line="560" w:lineRule="exact"/>
        <w:ind w:firstLine="420" w:firstLineChars="200"/>
      </w:pPr>
      <w:r>
        <w:rPr>
          <w:rFonts w:hint="eastAsia" w:cs="宋体"/>
          <w:szCs w:val="21"/>
        </w:rPr>
        <w:t>供应商应当按照竞争性磋商文件的要求编制响应文件，并对竞争性磋商文件提出的要求和条件作出实质性响应，响应文件原则上采用软面订本。</w:t>
      </w:r>
      <w:r>
        <w:t>电子文档内容应与纸质文件正本、副本一致，如不一致以提交的纸质档为准</w:t>
      </w:r>
      <w:r>
        <w:rPr>
          <w:rFonts w:hint="eastAsia"/>
        </w:rPr>
        <w:t>。</w:t>
      </w:r>
    </w:p>
    <w:p>
      <w:pPr>
        <w:spacing w:line="560" w:lineRule="exact"/>
        <w:ind w:firstLine="420" w:firstLineChars="200"/>
        <w:rPr>
          <w:rFonts w:cs="宋体"/>
          <w:szCs w:val="21"/>
        </w:rPr>
      </w:pPr>
      <w:r>
        <w:rPr>
          <w:rFonts w:hint="eastAsia" w:cs="宋体"/>
          <w:szCs w:val="21"/>
        </w:rPr>
        <w:t>1.响应文件组成</w:t>
      </w:r>
    </w:p>
    <w:p>
      <w:pPr>
        <w:spacing w:line="560" w:lineRule="exact"/>
        <w:ind w:firstLine="420" w:firstLineChars="200"/>
        <w:rPr>
          <w:rFonts w:cs="宋体"/>
          <w:szCs w:val="21"/>
        </w:rPr>
      </w:pPr>
      <w:r>
        <w:rPr>
          <w:rFonts w:hint="eastAsia" w:cs="宋体"/>
          <w:szCs w:val="21"/>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pPr>
        <w:spacing w:line="560" w:lineRule="exact"/>
        <w:ind w:firstLine="420" w:firstLineChars="200"/>
        <w:rPr>
          <w:rFonts w:cs="宋体"/>
          <w:szCs w:val="21"/>
        </w:rPr>
      </w:pPr>
      <w:r>
        <w:rPr>
          <w:rFonts w:hint="eastAsia" w:cs="宋体"/>
          <w:szCs w:val="21"/>
        </w:rPr>
        <w:t>2.磋商有效期：响应文件及有关承诺文件有效期为磋商开始时间起90天。</w:t>
      </w:r>
    </w:p>
    <w:p>
      <w:pPr>
        <w:spacing w:line="560" w:lineRule="exact"/>
        <w:ind w:firstLine="420" w:firstLineChars="200"/>
        <w:rPr>
          <w:rFonts w:cs="宋体"/>
          <w:color w:val="FF0000"/>
          <w:szCs w:val="21"/>
        </w:rPr>
      </w:pPr>
      <w:r>
        <w:rPr>
          <w:rFonts w:hint="eastAsia" w:cs="宋体"/>
          <w:color w:val="FF0000"/>
          <w:szCs w:val="21"/>
        </w:rPr>
        <w:t>3.本采购项目不接受联合体投标。</w:t>
      </w:r>
    </w:p>
    <w:p>
      <w:pPr>
        <w:pStyle w:val="4"/>
        <w:spacing w:before="0" w:after="0" w:line="400" w:lineRule="exact"/>
        <w:ind w:firstLine="420" w:firstLineChars="200"/>
        <w:rPr>
          <w:rFonts w:cs="宋体"/>
          <w:b w:val="0"/>
          <w:bCs w:val="0"/>
          <w:sz w:val="21"/>
          <w:szCs w:val="21"/>
        </w:rPr>
      </w:pPr>
      <w:r>
        <w:rPr>
          <w:rFonts w:hint="eastAsia" w:cs="宋体"/>
          <w:b w:val="0"/>
          <w:bCs w:val="0"/>
          <w:sz w:val="21"/>
          <w:szCs w:val="21"/>
        </w:rPr>
        <w:t>4、工期：设备15个工作日到达现场，整体工期45个工作日完成。</w:t>
      </w:r>
    </w:p>
    <w:p>
      <w:pPr>
        <w:snapToGrid w:val="0"/>
        <w:spacing w:line="560" w:lineRule="exact"/>
        <w:ind w:firstLine="315" w:firstLineChars="150"/>
        <w:rPr>
          <w:rFonts w:cs="宋体"/>
          <w:szCs w:val="21"/>
        </w:rPr>
      </w:pPr>
      <w:r>
        <w:rPr>
          <w:rFonts w:hint="eastAsia" w:cs="宋体"/>
          <w:szCs w:val="21"/>
        </w:rPr>
        <w:t>（二）修正错误</w:t>
      </w:r>
    </w:p>
    <w:p>
      <w:pPr>
        <w:spacing w:line="560" w:lineRule="exact"/>
        <w:ind w:firstLine="420" w:firstLineChars="200"/>
        <w:rPr>
          <w:rFonts w:cs="宋体"/>
          <w:szCs w:val="21"/>
        </w:rPr>
      </w:pPr>
      <w:r>
        <w:rPr>
          <w:rFonts w:hint="eastAsia" w:cs="宋体"/>
          <w:szCs w:val="21"/>
        </w:rPr>
        <w:t>若供应商所递交的响应文件或最后报价中的价格出现大写金额和小写金额不一致的错误，以大写金额修正为准。</w:t>
      </w:r>
    </w:p>
    <w:p>
      <w:pPr>
        <w:spacing w:line="560" w:lineRule="exact"/>
        <w:ind w:firstLine="420" w:firstLineChars="200"/>
        <w:rPr>
          <w:rFonts w:cs="宋体"/>
          <w:szCs w:val="21"/>
        </w:rPr>
      </w:pPr>
      <w:r>
        <w:rPr>
          <w:rFonts w:hint="eastAsia" w:cs="宋体"/>
          <w:szCs w:val="21"/>
        </w:rPr>
        <w:t>磋商小组按上述修正错误的原则及方法修正供应商的报价，供应商同意并签字确认后，修正后的报价对供应商具有约束作用。如果供应商不接受修正后的价格，将保留供应商投标人身份，但将失去成为成交供应商的资格。</w:t>
      </w:r>
    </w:p>
    <w:p>
      <w:pPr>
        <w:snapToGrid w:val="0"/>
        <w:spacing w:line="560" w:lineRule="exact"/>
        <w:ind w:firstLine="361" w:firstLineChars="150"/>
        <w:rPr>
          <w:rFonts w:cs="宋体"/>
          <w:szCs w:val="21"/>
        </w:rPr>
      </w:pPr>
      <w:r>
        <w:rPr>
          <w:rFonts w:hint="eastAsia"/>
          <w:b/>
          <w:bCs/>
          <w:sz w:val="24"/>
        </w:rPr>
        <w:t>※</w:t>
      </w:r>
      <w:r>
        <w:rPr>
          <w:rFonts w:hint="eastAsia" w:cs="宋体"/>
          <w:szCs w:val="21"/>
        </w:rPr>
        <w:t>（</w:t>
      </w:r>
      <w:r>
        <w:rPr>
          <w:rFonts w:hint="eastAsia" w:cs="宋体"/>
          <w:szCs w:val="21"/>
          <w:lang w:eastAsia="zh-Hans"/>
        </w:rPr>
        <w:t>三</w:t>
      </w:r>
      <w:r>
        <w:rPr>
          <w:rFonts w:hint="eastAsia" w:cs="宋体"/>
          <w:szCs w:val="21"/>
        </w:rPr>
        <w:t>）报价要求</w:t>
      </w:r>
    </w:p>
    <w:p>
      <w:pPr>
        <w:autoSpaceDE w:val="0"/>
        <w:autoSpaceDN w:val="0"/>
        <w:adjustRightInd w:val="0"/>
        <w:spacing w:line="360" w:lineRule="auto"/>
        <w:jc w:val="left"/>
        <w:rPr>
          <w:rFonts w:ascii="宋体" w:hAnsi="宋体" w:cs="宋体"/>
          <w:b/>
          <w:bCs/>
          <w:sz w:val="22"/>
          <w:szCs w:val="22"/>
        </w:rPr>
      </w:pPr>
      <w:r>
        <w:rPr>
          <w:rFonts w:hint="eastAsia" w:cs="宋体"/>
          <w:sz w:val="20"/>
          <w:szCs w:val="20"/>
        </w:rPr>
        <w:t xml:space="preserve">1. </w:t>
      </w:r>
      <w:r>
        <w:rPr>
          <w:rFonts w:hint="eastAsia" w:ascii="宋体" w:hAnsi="宋体" w:cs="宋体"/>
          <w:b/>
          <w:bCs/>
          <w:sz w:val="22"/>
          <w:szCs w:val="22"/>
        </w:rPr>
        <w:t>本次报价须为人民币报价，总价包干</w:t>
      </w:r>
      <w:r>
        <w:rPr>
          <w:rFonts w:hint="eastAsia" w:ascii="宋体" w:hAnsi="宋体" w:cs="宋体"/>
          <w:sz w:val="22"/>
          <w:szCs w:val="22"/>
        </w:rPr>
        <w:t>。</w:t>
      </w:r>
      <w:r>
        <w:rPr>
          <w:rFonts w:hint="eastAsia" w:ascii="宋体" w:hAnsi="宋体" w:cs="宋体"/>
          <w:b/>
          <w:bCs/>
          <w:sz w:val="22"/>
          <w:szCs w:val="22"/>
        </w:rPr>
        <w:t>包含但不限于：人工费、材料费、服务期内标定检测试剂费、措施费（含安全文明施工费）、规费、管理费、设备费、运输费（含装卸费）、保险费、安装调试费、税费、比对验收监测费、培训费、流量计移机费、工作间翻新、出渣清运费（工作间内残值为医院所有）以及质保期内一年运营维护费及产生的有害垃圾处置费、季度比对费，质保期内的产品维修更换等所有费用</w:t>
      </w:r>
      <w:r>
        <w:rPr>
          <w:rFonts w:hint="eastAsia" w:ascii="Times" w:hAnsi="Times" w:eastAsia="Songti SC" w:cs="Times"/>
          <w:b/>
          <w:bCs/>
          <w:color w:val="000000"/>
          <w:kern w:val="0"/>
          <w:sz w:val="22"/>
          <w:szCs w:val="22"/>
        </w:rPr>
        <w:t>，由成交供应商承担费用。</w:t>
      </w:r>
      <w:r>
        <w:rPr>
          <w:rFonts w:hint="eastAsia" w:ascii="宋体" w:hAnsi="宋体" w:cs="宋体"/>
          <w:b/>
          <w:bCs/>
          <w:sz w:val="22"/>
          <w:szCs w:val="22"/>
        </w:rPr>
        <w:t>项目所必须的全部工作所有费用的总和。 因成交供应商踏勘不足、自身原因造成漏报、少报皆由其自行承担责任，采购人不再补偿。</w:t>
      </w:r>
    </w:p>
    <w:p>
      <w:pPr>
        <w:snapToGrid w:val="0"/>
        <w:spacing w:line="360" w:lineRule="auto"/>
        <w:rPr>
          <w:rFonts w:ascii="宋体" w:hAnsi="宋体" w:cs="宋体"/>
          <w:sz w:val="22"/>
          <w:szCs w:val="22"/>
        </w:rPr>
      </w:pPr>
      <w:r>
        <w:rPr>
          <w:rFonts w:hint="eastAsia" w:ascii="宋体" w:hAnsi="宋体" w:cs="宋体"/>
          <w:sz w:val="22"/>
          <w:szCs w:val="22"/>
        </w:rPr>
        <w:t>2投标人须按“江北区中医院自动监测站站在线监测设备采购及运维服务项目清单”进行分项报价，且分项报价金额总和须与本项目投标总报价一致。</w:t>
      </w:r>
    </w:p>
    <w:p>
      <w:pPr>
        <w:snapToGrid w:val="0"/>
        <w:spacing w:line="560" w:lineRule="exact"/>
        <w:ind w:firstLine="315" w:firstLineChars="150"/>
        <w:rPr>
          <w:rFonts w:cs="宋体"/>
          <w:szCs w:val="21"/>
        </w:rPr>
      </w:pPr>
      <w:r>
        <w:rPr>
          <w:rFonts w:hint="eastAsia" w:cs="宋体"/>
          <w:szCs w:val="21"/>
        </w:rPr>
        <w:t>（</w:t>
      </w:r>
      <w:r>
        <w:rPr>
          <w:rFonts w:hint="eastAsia" w:cs="宋体"/>
          <w:szCs w:val="21"/>
          <w:lang w:eastAsia="zh-Hans"/>
        </w:rPr>
        <w:t>四</w:t>
      </w:r>
      <w:r>
        <w:rPr>
          <w:rFonts w:hint="eastAsia" w:cs="宋体"/>
          <w:szCs w:val="21"/>
        </w:rPr>
        <w:t>）提交响应文件的份数和签署</w:t>
      </w:r>
    </w:p>
    <w:p>
      <w:pPr>
        <w:snapToGrid w:val="0"/>
        <w:spacing w:line="560" w:lineRule="exact"/>
        <w:ind w:firstLine="420" w:firstLineChars="200"/>
        <w:rPr>
          <w:rFonts w:cs="宋体"/>
          <w:szCs w:val="21"/>
        </w:rPr>
      </w:pPr>
      <w:r>
        <w:rPr>
          <w:rFonts w:hint="eastAsia" w:cs="宋体"/>
          <w:szCs w:val="21"/>
        </w:rPr>
        <w:t>1.响应文件一式二份，其中正本一份，副本一份，副本可为正本的复印件，应与正本一致，如出现不一致情况以正本为准。</w:t>
      </w:r>
    </w:p>
    <w:p>
      <w:pPr>
        <w:snapToGrid w:val="0"/>
        <w:spacing w:line="560" w:lineRule="exact"/>
        <w:ind w:firstLine="420" w:firstLineChars="200"/>
        <w:rPr>
          <w:rFonts w:cs="宋体"/>
          <w:szCs w:val="21"/>
        </w:rPr>
      </w:pPr>
      <w:r>
        <w:rPr>
          <w:rFonts w:hint="eastAsia" w:cs="宋体"/>
          <w:szCs w:val="21"/>
        </w:rPr>
        <w:t>2.</w:t>
      </w:r>
      <w:r>
        <w:rPr>
          <w:rFonts w:hint="eastAsia" w:cs="宋体"/>
          <w:b/>
          <w:szCs w:val="21"/>
        </w:rPr>
        <w:t>在响应文件正本中应逐页盖章</w:t>
      </w:r>
      <w:r>
        <w:rPr>
          <w:rFonts w:hint="eastAsia" w:cs="宋体"/>
          <w:szCs w:val="21"/>
        </w:rPr>
        <w:t>，竞争性磋商文件第六篇响应文件格式中规定签字、盖章的地方必须按其规定签字、盖章。</w:t>
      </w:r>
    </w:p>
    <w:p>
      <w:pPr>
        <w:snapToGrid w:val="0"/>
        <w:spacing w:line="560" w:lineRule="exact"/>
        <w:ind w:firstLine="420" w:firstLineChars="200"/>
        <w:rPr>
          <w:rFonts w:cs="宋体"/>
          <w:szCs w:val="21"/>
        </w:rPr>
      </w:pPr>
      <w:r>
        <w:rPr>
          <w:rFonts w:hint="eastAsia" w:cs="宋体"/>
          <w:szCs w:val="21"/>
        </w:rPr>
        <w:t>3.若供应商对响应文件的错处作必要修改，则应在修改处加盖供应商公章或由法定代表人或法定代表人授权代表签字确认。</w:t>
      </w:r>
    </w:p>
    <w:p>
      <w:pPr>
        <w:snapToGrid w:val="0"/>
        <w:spacing w:line="560" w:lineRule="exact"/>
        <w:ind w:firstLine="420" w:firstLineChars="200"/>
        <w:rPr>
          <w:rFonts w:cs="宋体"/>
          <w:szCs w:val="21"/>
        </w:rPr>
      </w:pPr>
      <w:r>
        <w:rPr>
          <w:rFonts w:hint="eastAsia" w:cs="宋体"/>
          <w:szCs w:val="21"/>
        </w:rPr>
        <w:t>4.电报、电话、传真形式的响应文件概不接受。</w:t>
      </w:r>
    </w:p>
    <w:p>
      <w:pPr>
        <w:snapToGrid w:val="0"/>
        <w:spacing w:line="560" w:lineRule="exact"/>
        <w:ind w:firstLine="315" w:firstLineChars="150"/>
        <w:rPr>
          <w:rFonts w:cs="宋体"/>
          <w:szCs w:val="21"/>
        </w:rPr>
      </w:pPr>
      <w:r>
        <w:rPr>
          <w:rFonts w:hint="eastAsia" w:cs="宋体"/>
          <w:szCs w:val="21"/>
        </w:rPr>
        <w:t>（</w:t>
      </w:r>
      <w:r>
        <w:rPr>
          <w:rFonts w:hint="eastAsia" w:cs="宋体"/>
          <w:szCs w:val="21"/>
          <w:lang w:eastAsia="zh-Hans"/>
        </w:rPr>
        <w:t>五</w:t>
      </w:r>
      <w:r>
        <w:rPr>
          <w:rFonts w:hint="eastAsia" w:cs="宋体"/>
          <w:szCs w:val="21"/>
        </w:rPr>
        <w:t>）响应文件的递交</w:t>
      </w:r>
    </w:p>
    <w:p>
      <w:pPr>
        <w:pStyle w:val="30"/>
        <w:spacing w:line="560" w:lineRule="exact"/>
        <w:ind w:firstLine="420" w:firstLineChars="200"/>
        <w:rPr>
          <w:rFonts w:ascii="Times New Roman" w:hAnsi="Times New Roman" w:cs="宋体"/>
          <w:szCs w:val="21"/>
        </w:rPr>
      </w:pPr>
      <w:r>
        <w:rPr>
          <w:rFonts w:hint="eastAsia" w:ascii="Times New Roman" w:hAnsi="Times New Roman" w:cs="宋体"/>
          <w:szCs w:val="21"/>
        </w:rPr>
        <w:t>1.响应文件的密封与标记</w:t>
      </w:r>
    </w:p>
    <w:p>
      <w:pPr>
        <w:pStyle w:val="30"/>
        <w:spacing w:line="560" w:lineRule="exact"/>
        <w:ind w:firstLine="420" w:firstLineChars="200"/>
        <w:rPr>
          <w:rFonts w:ascii="Times New Roman" w:hAnsi="Times New Roman" w:cs="宋体"/>
          <w:szCs w:val="21"/>
        </w:rPr>
      </w:pPr>
      <w:r>
        <w:rPr>
          <w:rFonts w:hint="eastAsia" w:ascii="Times New Roman" w:hAnsi="Times New Roman" w:cs="宋体"/>
          <w:szCs w:val="21"/>
        </w:rPr>
        <w:t>1.1响应文件的正本、副本均应密封送达制定地点，应在封套上注明项目名称、供应商名称。若正本、副本分别进行密封的，还应在封套上注明“正本”、“副本”字样。</w:t>
      </w:r>
    </w:p>
    <w:p>
      <w:pPr>
        <w:pStyle w:val="30"/>
        <w:spacing w:line="560" w:lineRule="exact"/>
        <w:ind w:firstLine="420" w:firstLineChars="200"/>
        <w:rPr>
          <w:rFonts w:ascii="Times New Roman" w:hAnsi="Times New Roman" w:cs="宋体"/>
          <w:szCs w:val="21"/>
        </w:rPr>
      </w:pPr>
      <w:r>
        <w:rPr>
          <w:rFonts w:hint="eastAsia" w:ascii="Times New Roman" w:hAnsi="Times New Roman" w:cs="宋体"/>
          <w:szCs w:val="21"/>
        </w:rPr>
        <w:t>1.2封套的封口处应加盖供应商公章或由法定代表人授权代表签字。</w:t>
      </w:r>
    </w:p>
    <w:p>
      <w:pPr>
        <w:snapToGrid w:val="0"/>
        <w:spacing w:line="560" w:lineRule="exact"/>
        <w:ind w:firstLine="315" w:firstLineChars="150"/>
        <w:rPr>
          <w:rFonts w:cs="宋体"/>
          <w:szCs w:val="21"/>
        </w:rPr>
      </w:pPr>
      <w:r>
        <w:rPr>
          <w:rFonts w:hint="eastAsia" w:cs="宋体"/>
          <w:szCs w:val="21"/>
        </w:rPr>
        <w:t>（</w:t>
      </w:r>
      <w:r>
        <w:rPr>
          <w:rFonts w:hint="eastAsia" w:cs="宋体"/>
          <w:szCs w:val="21"/>
          <w:lang w:eastAsia="zh-Hans"/>
        </w:rPr>
        <w:t>六</w:t>
      </w:r>
      <w:r>
        <w:rPr>
          <w:rFonts w:hint="eastAsia" w:cs="宋体"/>
          <w:szCs w:val="21"/>
        </w:rPr>
        <w:t>）供应商参与人员</w:t>
      </w:r>
    </w:p>
    <w:p>
      <w:pPr>
        <w:snapToGrid w:val="0"/>
        <w:spacing w:line="560" w:lineRule="exact"/>
        <w:ind w:firstLine="420" w:firstLineChars="200"/>
        <w:rPr>
          <w:rFonts w:cs="宋体"/>
          <w:szCs w:val="21"/>
        </w:rPr>
      </w:pPr>
      <w:r>
        <w:rPr>
          <w:rFonts w:hint="eastAsia" w:cs="宋体"/>
          <w:szCs w:val="21"/>
        </w:rPr>
        <w:t>各供应商应当派1-2名代表参与磋商，至少1人应为法定代表人或具有法定代表人授权委托书的授权代表。</w:t>
      </w:r>
    </w:p>
    <w:p>
      <w:pPr>
        <w:snapToGrid w:val="0"/>
        <w:spacing w:line="560" w:lineRule="exact"/>
        <w:ind w:firstLine="315" w:firstLineChars="150"/>
        <w:rPr>
          <w:rFonts w:cs="宋体"/>
          <w:szCs w:val="21"/>
        </w:rPr>
      </w:pPr>
      <w:r>
        <w:rPr>
          <w:rFonts w:hint="eastAsia" w:cs="宋体"/>
          <w:szCs w:val="21"/>
        </w:rPr>
        <w:t>（</w:t>
      </w:r>
      <w:r>
        <w:rPr>
          <w:rFonts w:hint="eastAsia" w:cs="宋体"/>
          <w:szCs w:val="21"/>
          <w:lang w:eastAsia="zh-Hans"/>
        </w:rPr>
        <w:t>七</w:t>
      </w:r>
      <w:r>
        <w:rPr>
          <w:rFonts w:hint="eastAsia" w:cs="宋体"/>
          <w:szCs w:val="21"/>
        </w:rPr>
        <w:t>）无效磋商</w:t>
      </w:r>
    </w:p>
    <w:p>
      <w:pPr>
        <w:snapToGrid w:val="0"/>
        <w:spacing w:line="560" w:lineRule="exact"/>
        <w:ind w:firstLine="420" w:firstLineChars="200"/>
        <w:rPr>
          <w:rFonts w:cs="宋体"/>
          <w:szCs w:val="21"/>
        </w:rPr>
      </w:pPr>
      <w:r>
        <w:rPr>
          <w:rFonts w:hint="eastAsia" w:cs="宋体"/>
          <w:szCs w:val="21"/>
        </w:rPr>
        <w:t>供应商发生以下条款情况之一者，视为无效磋商，其响应文件将被拒绝：</w:t>
      </w:r>
    </w:p>
    <w:p>
      <w:pPr>
        <w:snapToGrid w:val="0"/>
        <w:spacing w:line="560" w:lineRule="exact"/>
        <w:ind w:firstLine="420" w:firstLineChars="200"/>
        <w:rPr>
          <w:rFonts w:cs="宋体"/>
          <w:szCs w:val="21"/>
        </w:rPr>
      </w:pPr>
      <w:r>
        <w:rPr>
          <w:rFonts w:hint="eastAsia" w:cs="宋体"/>
          <w:szCs w:val="21"/>
        </w:rPr>
        <w:t>1.供应商不符合规定的基本资格条件或特定资格条件的；</w:t>
      </w:r>
    </w:p>
    <w:p>
      <w:pPr>
        <w:snapToGrid w:val="0"/>
        <w:spacing w:line="560" w:lineRule="exact"/>
        <w:ind w:firstLine="420" w:firstLineChars="200"/>
        <w:rPr>
          <w:rFonts w:cs="宋体"/>
          <w:szCs w:val="21"/>
        </w:rPr>
      </w:pPr>
      <w:r>
        <w:rPr>
          <w:rFonts w:hint="eastAsia" w:cs="宋体"/>
          <w:szCs w:val="21"/>
        </w:rPr>
        <w:t>2.供应商的法定代表人或其授权代表未参加磋商；</w:t>
      </w:r>
    </w:p>
    <w:p>
      <w:pPr>
        <w:snapToGrid w:val="0"/>
        <w:spacing w:line="560" w:lineRule="exact"/>
        <w:ind w:firstLine="420" w:firstLineChars="200"/>
        <w:rPr>
          <w:rFonts w:cs="宋体"/>
          <w:szCs w:val="21"/>
        </w:rPr>
      </w:pPr>
      <w:r>
        <w:rPr>
          <w:rFonts w:hint="eastAsia" w:cs="宋体"/>
          <w:szCs w:val="21"/>
        </w:rPr>
        <w:t>3.供应商所提交的响应文件不按规定签字、盖章的；</w:t>
      </w:r>
    </w:p>
    <w:p>
      <w:pPr>
        <w:snapToGrid w:val="0"/>
        <w:spacing w:line="560" w:lineRule="exact"/>
        <w:ind w:firstLine="420" w:firstLineChars="200"/>
        <w:rPr>
          <w:rFonts w:cs="宋体"/>
          <w:szCs w:val="21"/>
        </w:rPr>
      </w:pPr>
      <w:r>
        <w:rPr>
          <w:rFonts w:hint="eastAsia" w:cs="宋体"/>
          <w:szCs w:val="21"/>
        </w:rPr>
        <w:t>4.供应商的最后报价超过采购预算或最高限价的；</w:t>
      </w:r>
    </w:p>
    <w:p>
      <w:pPr>
        <w:snapToGrid w:val="0"/>
        <w:spacing w:line="560" w:lineRule="exact"/>
        <w:ind w:firstLine="420" w:firstLineChars="200"/>
        <w:rPr>
          <w:rFonts w:cs="宋体"/>
          <w:szCs w:val="21"/>
        </w:rPr>
      </w:pPr>
      <w:r>
        <w:rPr>
          <w:rFonts w:hint="eastAsia" w:cs="宋体"/>
          <w:szCs w:val="21"/>
        </w:rPr>
        <w:t>5.供应商响应文件内容有与国家现行法律法规相违背的内容，或附有采购人无法接受条件的。</w:t>
      </w:r>
    </w:p>
    <w:p>
      <w:pPr>
        <w:snapToGrid w:val="0"/>
        <w:spacing w:line="560" w:lineRule="exact"/>
        <w:ind w:firstLine="420" w:firstLineChars="200"/>
        <w:rPr>
          <w:rFonts w:cs="宋体"/>
          <w:szCs w:val="21"/>
        </w:rPr>
      </w:pPr>
      <w:r>
        <w:rPr>
          <w:rFonts w:hint="eastAsia" w:cs="宋体"/>
          <w:szCs w:val="21"/>
        </w:rPr>
        <w:t>6.单位负责人为同一人或者存在直接控股、管理关系的不同供应商，参加同一合同项（分包）下采购活动的；</w:t>
      </w:r>
    </w:p>
    <w:p>
      <w:pPr>
        <w:snapToGrid w:val="0"/>
        <w:spacing w:line="560" w:lineRule="exact"/>
        <w:ind w:firstLine="420" w:firstLineChars="200"/>
        <w:rPr>
          <w:rFonts w:cs="宋体"/>
          <w:szCs w:val="21"/>
        </w:rPr>
      </w:pPr>
      <w:r>
        <w:rPr>
          <w:rFonts w:hint="eastAsia" w:cs="宋体"/>
          <w:szCs w:val="21"/>
        </w:rPr>
        <w:t>7.为采购项目提供整体设计、规范编制或者项目管理、监理、检测等服务的供应商再参加该采购项目的其他采购活动的；</w:t>
      </w:r>
    </w:p>
    <w:p>
      <w:pPr>
        <w:snapToGrid w:val="0"/>
        <w:spacing w:line="560" w:lineRule="exact"/>
        <w:ind w:firstLine="420" w:firstLineChars="200"/>
        <w:rPr>
          <w:rFonts w:cs="宋体"/>
          <w:szCs w:val="21"/>
        </w:rPr>
      </w:pPr>
      <w:r>
        <w:rPr>
          <w:rFonts w:hint="eastAsia" w:cs="宋体"/>
          <w:szCs w:val="21"/>
        </w:rPr>
        <w:t>8.供应商以联合体形式参与投标的。</w:t>
      </w:r>
    </w:p>
    <w:p>
      <w:pPr>
        <w:snapToGrid w:val="0"/>
        <w:spacing w:line="560" w:lineRule="exact"/>
        <w:ind w:firstLine="420" w:firstLineChars="200"/>
        <w:rPr>
          <w:rFonts w:cs="宋体"/>
          <w:szCs w:val="21"/>
        </w:rPr>
      </w:pPr>
      <w:r>
        <w:rPr>
          <w:rFonts w:hint="eastAsia" w:cs="宋体"/>
          <w:szCs w:val="21"/>
        </w:rPr>
        <w:t>9.供应商如磋商时不能解答磋商文件的技术问题，视为无效磋商。</w:t>
      </w:r>
    </w:p>
    <w:p>
      <w:pPr>
        <w:pStyle w:val="4"/>
        <w:spacing w:before="0" w:after="0" w:line="560" w:lineRule="exact"/>
        <w:ind w:firstLine="562" w:firstLineChars="200"/>
        <w:rPr>
          <w:rFonts w:cs="宋体"/>
          <w:bCs w:val="0"/>
          <w:sz w:val="28"/>
          <w:szCs w:val="28"/>
        </w:rPr>
      </w:pPr>
      <w:bookmarkStart w:id="26" w:name="_Toc29543168"/>
      <w:bookmarkStart w:id="27" w:name="_Toc179714298"/>
      <w:bookmarkStart w:id="28" w:name="_Toc342913393"/>
      <w:bookmarkStart w:id="29" w:name="_Toc102227319"/>
      <w:r>
        <w:rPr>
          <w:rFonts w:hint="eastAsia" w:cs="宋体"/>
          <w:bCs w:val="0"/>
          <w:sz w:val="28"/>
          <w:szCs w:val="28"/>
        </w:rPr>
        <w:t>四、磋商程序</w:t>
      </w:r>
      <w:bookmarkEnd w:id="26"/>
      <w:bookmarkEnd w:id="27"/>
      <w:bookmarkEnd w:id="28"/>
      <w:bookmarkEnd w:id="29"/>
    </w:p>
    <w:p>
      <w:pPr>
        <w:spacing w:line="560" w:lineRule="exact"/>
        <w:ind w:firstLine="315" w:firstLineChars="150"/>
        <w:rPr>
          <w:rFonts w:cs="宋体"/>
          <w:szCs w:val="21"/>
        </w:rPr>
      </w:pPr>
      <w:r>
        <w:rPr>
          <w:rFonts w:hint="eastAsia" w:cs="宋体"/>
          <w:szCs w:val="21"/>
        </w:rPr>
        <w:t>（一）按竞争性磋商文件规定的时间和地点进行。供应商须有法定代表人或其授权代表参加并签到。</w:t>
      </w:r>
    </w:p>
    <w:p>
      <w:pPr>
        <w:spacing w:line="560" w:lineRule="exact"/>
        <w:ind w:firstLine="315" w:firstLineChars="150"/>
        <w:rPr>
          <w:rFonts w:cs="宋体"/>
          <w:szCs w:val="21"/>
        </w:rPr>
      </w:pPr>
      <w:r>
        <w:rPr>
          <w:rFonts w:hint="eastAsia" w:cs="宋体"/>
          <w:szCs w:val="21"/>
        </w:rPr>
        <w:t xml:space="preserve">（二）在正式评审前，对各供应商的资格条件、响应文件的有效性、完整性和响应程度进行审查，各供应商只有在完全符合磋商文件要求的前提下，才能参与正式评审，审查的内容如下： </w:t>
      </w:r>
    </w:p>
    <w:p>
      <w:pPr>
        <w:snapToGrid w:val="0"/>
        <w:spacing w:line="560" w:lineRule="exact"/>
        <w:ind w:firstLine="420" w:firstLineChars="200"/>
        <w:rPr>
          <w:rFonts w:cs="宋体"/>
          <w:szCs w:val="21"/>
        </w:rPr>
      </w:pPr>
      <w:r>
        <w:rPr>
          <w:rFonts w:hint="eastAsia" w:cs="宋体"/>
          <w:szCs w:val="21"/>
        </w:rPr>
        <w:t>1.资格性检查。依据法律法规和竞争性磋商文件的规定，对响应文件中的资格证明等进行审查，以确定供应商是否具备磋商资格。资格性检查资料表如下：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268"/>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60" w:lineRule="exact"/>
              <w:jc w:val="center"/>
              <w:rPr>
                <w:rFonts w:ascii="方正仿宋_GBK" w:hAnsi="仿宋" w:eastAsia="方正仿宋_GBK" w:cs="宋体"/>
                <w:color w:val="000000" w:themeColor="text1"/>
                <w:kern w:val="0"/>
                <w:szCs w:val="28"/>
              </w:rPr>
            </w:pPr>
            <w:r>
              <w:rPr>
                <w:rFonts w:hint="eastAsia" w:ascii="方正仿宋_GBK" w:hAnsi="仿宋" w:eastAsia="方正仿宋_GBK" w:cs="宋体"/>
                <w:color w:val="000000" w:themeColor="text1"/>
                <w:kern w:val="0"/>
                <w:szCs w:val="28"/>
              </w:rPr>
              <w:t>序号</w:t>
            </w:r>
          </w:p>
        </w:tc>
        <w:tc>
          <w:tcPr>
            <w:tcW w:w="2835" w:type="dxa"/>
            <w:gridSpan w:val="2"/>
            <w:vAlign w:val="center"/>
          </w:tcPr>
          <w:p>
            <w:pPr>
              <w:spacing w:line="560" w:lineRule="exact"/>
              <w:jc w:val="center"/>
              <w:rPr>
                <w:rFonts w:ascii="方正仿宋_GBK" w:hAnsi="仿宋" w:eastAsia="方正仿宋_GBK" w:cs="宋体"/>
                <w:color w:val="000000" w:themeColor="text1"/>
                <w:kern w:val="0"/>
                <w:szCs w:val="28"/>
              </w:rPr>
            </w:pPr>
            <w:r>
              <w:rPr>
                <w:rFonts w:hint="eastAsia" w:ascii="方正仿宋_GBK" w:hAnsi="仿宋" w:eastAsia="方正仿宋_GBK" w:cs="宋体"/>
                <w:color w:val="000000" w:themeColor="text1"/>
                <w:kern w:val="0"/>
                <w:szCs w:val="28"/>
              </w:rPr>
              <w:t>检查因素</w:t>
            </w:r>
          </w:p>
        </w:tc>
        <w:tc>
          <w:tcPr>
            <w:tcW w:w="5976" w:type="dxa"/>
            <w:vAlign w:val="center"/>
          </w:tcPr>
          <w:p>
            <w:pPr>
              <w:spacing w:line="560" w:lineRule="exact"/>
              <w:jc w:val="center"/>
              <w:rPr>
                <w:rFonts w:ascii="方正仿宋_GBK" w:hAnsi="仿宋" w:eastAsia="方正仿宋_GBK" w:cs="宋体"/>
                <w:color w:val="000000" w:themeColor="text1"/>
                <w:kern w:val="0"/>
                <w:szCs w:val="28"/>
              </w:rPr>
            </w:pPr>
            <w:r>
              <w:rPr>
                <w:rFonts w:hint="eastAsia" w:ascii="方正仿宋_GBK" w:hAnsi="仿宋" w:eastAsia="方正仿宋_GBK" w:cs="宋体"/>
                <w:color w:val="000000" w:themeColor="text1"/>
                <w:kern w:val="0"/>
                <w:szCs w:val="2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560" w:lineRule="exact"/>
              <w:jc w:val="center"/>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1</w:t>
            </w:r>
          </w:p>
        </w:tc>
        <w:tc>
          <w:tcPr>
            <w:tcW w:w="567" w:type="dxa"/>
            <w:vMerge w:val="restart"/>
            <w:vAlign w:val="center"/>
          </w:tcPr>
          <w:p>
            <w:pPr>
              <w:spacing w:line="560" w:lineRule="exact"/>
              <w:jc w:val="center"/>
              <w:rPr>
                <w:rFonts w:ascii="方正仿宋_GBK" w:hAnsi="仿宋" w:eastAsia="方正仿宋_GBK" w:cs="仿宋_GB2312"/>
                <w:color w:val="000000" w:themeColor="text1"/>
                <w:szCs w:val="28"/>
                <w:lang w:val="zh-CN"/>
              </w:rPr>
            </w:pPr>
            <w:r>
              <w:rPr>
                <w:rFonts w:hint="eastAsia" w:ascii="方正仿宋_GBK" w:hAnsi="仿宋" w:eastAsia="方正仿宋_GBK" w:cs="仿宋_GB2312"/>
                <w:color w:val="000000" w:themeColor="text1"/>
                <w:szCs w:val="28"/>
                <w:lang w:val="zh-CN"/>
              </w:rPr>
              <w:t>供</w:t>
            </w:r>
          </w:p>
          <w:p>
            <w:pPr>
              <w:spacing w:line="560" w:lineRule="exact"/>
              <w:jc w:val="center"/>
              <w:rPr>
                <w:rFonts w:ascii="方正仿宋_GBK" w:hAnsi="仿宋" w:eastAsia="方正仿宋_GBK" w:cs="仿宋_GB2312"/>
                <w:color w:val="000000" w:themeColor="text1"/>
                <w:szCs w:val="28"/>
                <w:lang w:val="zh-CN"/>
              </w:rPr>
            </w:pPr>
            <w:r>
              <w:rPr>
                <w:rFonts w:hint="eastAsia" w:ascii="方正仿宋_GBK" w:hAnsi="仿宋" w:eastAsia="方正仿宋_GBK" w:cs="仿宋_GB2312"/>
                <w:color w:val="000000" w:themeColor="text1"/>
                <w:szCs w:val="28"/>
                <w:lang w:val="zh-CN"/>
              </w:rPr>
              <w:t>应</w:t>
            </w:r>
          </w:p>
          <w:p>
            <w:pPr>
              <w:spacing w:line="560" w:lineRule="exact"/>
              <w:jc w:val="center"/>
              <w:rPr>
                <w:rFonts w:ascii="方正仿宋_GBK" w:hAnsi="仿宋" w:eastAsia="方正仿宋_GBK" w:cs="仿宋_GB2312"/>
                <w:color w:val="000000" w:themeColor="text1"/>
                <w:szCs w:val="28"/>
                <w:lang w:val="zh-CN"/>
              </w:rPr>
            </w:pPr>
            <w:r>
              <w:rPr>
                <w:rFonts w:hint="eastAsia" w:ascii="方正仿宋_GBK" w:hAnsi="仿宋" w:eastAsia="方正仿宋_GBK" w:cs="仿宋_GB2312"/>
                <w:color w:val="000000" w:themeColor="text1"/>
                <w:szCs w:val="28"/>
                <w:lang w:val="zh-CN"/>
              </w:rPr>
              <w:t>商</w:t>
            </w:r>
          </w:p>
          <w:p>
            <w:pPr>
              <w:spacing w:line="560" w:lineRule="exact"/>
              <w:jc w:val="center"/>
              <w:rPr>
                <w:rFonts w:ascii="方正仿宋_GBK" w:hAnsi="仿宋" w:eastAsia="方正仿宋_GBK" w:cs="仿宋_GB2312"/>
                <w:color w:val="000000" w:themeColor="text1"/>
                <w:szCs w:val="28"/>
                <w:lang w:val="zh-CN"/>
              </w:rPr>
            </w:pPr>
            <w:r>
              <w:rPr>
                <w:rFonts w:hint="eastAsia" w:ascii="方正仿宋_GBK" w:hAnsi="仿宋" w:eastAsia="方正仿宋_GBK" w:cs="仿宋_GB2312"/>
                <w:color w:val="000000" w:themeColor="text1"/>
                <w:szCs w:val="28"/>
                <w:lang w:val="zh-CN"/>
              </w:rPr>
              <w:t>基</w:t>
            </w:r>
          </w:p>
          <w:p>
            <w:pPr>
              <w:spacing w:line="560" w:lineRule="exact"/>
              <w:jc w:val="center"/>
              <w:rPr>
                <w:rFonts w:ascii="方正仿宋_GBK" w:hAnsi="仿宋" w:eastAsia="方正仿宋_GBK" w:cs="仿宋_GB2312"/>
                <w:color w:val="000000" w:themeColor="text1"/>
                <w:szCs w:val="28"/>
                <w:lang w:val="zh-CN"/>
              </w:rPr>
            </w:pPr>
            <w:r>
              <w:rPr>
                <w:rFonts w:hint="eastAsia" w:ascii="方正仿宋_GBK" w:hAnsi="仿宋" w:eastAsia="方正仿宋_GBK" w:cs="仿宋_GB2312"/>
                <w:color w:val="000000" w:themeColor="text1"/>
                <w:szCs w:val="28"/>
                <w:lang w:val="zh-CN"/>
              </w:rPr>
              <w:t>本</w:t>
            </w:r>
          </w:p>
          <w:p>
            <w:pPr>
              <w:spacing w:line="560" w:lineRule="exact"/>
              <w:jc w:val="center"/>
              <w:rPr>
                <w:rFonts w:ascii="方正仿宋_GBK" w:hAnsi="仿宋" w:eastAsia="方正仿宋_GBK" w:cs="仿宋_GB2312"/>
                <w:color w:val="000000" w:themeColor="text1"/>
                <w:szCs w:val="28"/>
                <w:lang w:val="zh-CN"/>
              </w:rPr>
            </w:pPr>
            <w:r>
              <w:rPr>
                <w:rFonts w:hint="eastAsia" w:ascii="方正仿宋_GBK" w:hAnsi="仿宋" w:eastAsia="方正仿宋_GBK" w:cs="仿宋_GB2312"/>
                <w:color w:val="000000" w:themeColor="text1"/>
                <w:szCs w:val="28"/>
                <w:lang w:val="zh-CN"/>
              </w:rPr>
              <w:t>资</w:t>
            </w:r>
          </w:p>
          <w:p>
            <w:pPr>
              <w:spacing w:line="560" w:lineRule="exact"/>
              <w:jc w:val="center"/>
              <w:rPr>
                <w:rFonts w:ascii="方正仿宋_GBK" w:hAnsi="仿宋" w:eastAsia="方正仿宋_GBK" w:cs="仿宋_GB2312"/>
                <w:color w:val="000000" w:themeColor="text1"/>
                <w:szCs w:val="28"/>
                <w:lang w:val="zh-CN"/>
              </w:rPr>
            </w:pPr>
            <w:r>
              <w:rPr>
                <w:rFonts w:hint="eastAsia" w:ascii="方正仿宋_GBK" w:hAnsi="仿宋" w:eastAsia="方正仿宋_GBK" w:cs="仿宋_GB2312"/>
                <w:color w:val="000000" w:themeColor="text1"/>
                <w:szCs w:val="28"/>
                <w:lang w:val="zh-CN"/>
              </w:rPr>
              <w:t>格</w:t>
            </w:r>
          </w:p>
          <w:p>
            <w:pPr>
              <w:spacing w:line="560" w:lineRule="exact"/>
              <w:jc w:val="center"/>
              <w:rPr>
                <w:rFonts w:ascii="方正仿宋_GBK" w:hAnsi="仿宋" w:eastAsia="方正仿宋_GBK" w:cs="仿宋_GB2312"/>
                <w:color w:val="000000" w:themeColor="text1"/>
                <w:szCs w:val="28"/>
                <w:lang w:val="zh-CN"/>
              </w:rPr>
            </w:pPr>
            <w:r>
              <w:rPr>
                <w:rFonts w:hint="eastAsia" w:ascii="方正仿宋_GBK" w:hAnsi="仿宋" w:eastAsia="方正仿宋_GBK" w:cs="仿宋_GB2312"/>
                <w:color w:val="000000" w:themeColor="text1"/>
                <w:szCs w:val="28"/>
                <w:lang w:val="zh-CN"/>
              </w:rPr>
              <w:t>条</w:t>
            </w:r>
          </w:p>
          <w:p>
            <w:pPr>
              <w:spacing w:line="560" w:lineRule="exact"/>
              <w:jc w:val="center"/>
              <w:rPr>
                <w:rFonts w:ascii="方正仿宋_GBK" w:hAnsi="仿宋" w:eastAsia="方正仿宋_GBK" w:cs="仿宋_GB2312"/>
                <w:color w:val="000000" w:themeColor="text1"/>
                <w:szCs w:val="28"/>
                <w:lang w:val="zh-CN"/>
              </w:rPr>
            </w:pPr>
            <w:r>
              <w:rPr>
                <w:rFonts w:hint="eastAsia" w:ascii="方正仿宋_GBK" w:hAnsi="仿宋" w:eastAsia="方正仿宋_GBK" w:cs="仿宋_GB2312"/>
                <w:color w:val="000000" w:themeColor="text1"/>
                <w:szCs w:val="28"/>
                <w:lang w:val="zh-CN"/>
              </w:rPr>
              <w:t>件</w:t>
            </w:r>
          </w:p>
        </w:tc>
        <w:tc>
          <w:tcPr>
            <w:tcW w:w="2268" w:type="dxa"/>
            <w:vAlign w:val="center"/>
          </w:tcPr>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（1）具有独立承担民事责任的能力</w:t>
            </w:r>
          </w:p>
        </w:tc>
        <w:tc>
          <w:tcPr>
            <w:tcW w:w="5976" w:type="dxa"/>
            <w:vAlign w:val="center"/>
          </w:tcPr>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①供应商法人营业执照（副本）或事业单位法人证书（副本）或个体工商户营业执照或有效的自然人身份证明、组织机构代码证复印件（注</w:t>
            </w:r>
            <w:r>
              <w:rPr>
                <w:rFonts w:hint="eastAsia" w:ascii="方正仿宋_GBK" w:hAnsi="宋体" w:eastAsia="方正仿宋_GBK" w:cs="宋体"/>
                <w:color w:val="000000" w:themeColor="text1"/>
                <w:kern w:val="0"/>
                <w:szCs w:val="28"/>
              </w:rPr>
              <w:t>1</w:t>
            </w:r>
            <w:r>
              <w:rPr>
                <w:rFonts w:hint="eastAsia" w:ascii="方正仿宋_GBK" w:hAnsi="仿宋" w:eastAsia="方正仿宋_GBK"/>
                <w:color w:val="000000" w:themeColor="text1"/>
                <w:szCs w:val="28"/>
              </w:rPr>
              <w:t xml:space="preserve">）； </w:t>
            </w:r>
          </w:p>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②供应商法定代表人身份证明和法定代表人授权代表委托书。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560" w:lineRule="exact"/>
              <w:jc w:val="center"/>
              <w:rPr>
                <w:rFonts w:ascii="方正仿宋_GBK" w:hAnsi="仿宋" w:eastAsia="方正仿宋_GBK"/>
                <w:color w:val="000000" w:themeColor="text1"/>
                <w:szCs w:val="28"/>
              </w:rPr>
            </w:pPr>
          </w:p>
        </w:tc>
        <w:tc>
          <w:tcPr>
            <w:tcW w:w="567" w:type="dxa"/>
            <w:vMerge w:val="continue"/>
            <w:vAlign w:val="center"/>
          </w:tcPr>
          <w:p>
            <w:pPr>
              <w:spacing w:line="560" w:lineRule="exact"/>
              <w:rPr>
                <w:rFonts w:ascii="方正仿宋_GBK" w:hAnsi="仿宋" w:eastAsia="方正仿宋_GBK" w:cs="仿宋_GB2312"/>
                <w:color w:val="000000" w:themeColor="text1"/>
                <w:szCs w:val="28"/>
                <w:lang w:val="zh-CN"/>
              </w:rPr>
            </w:pPr>
          </w:p>
        </w:tc>
        <w:tc>
          <w:tcPr>
            <w:tcW w:w="2268" w:type="dxa"/>
            <w:vAlign w:val="center"/>
          </w:tcPr>
          <w:p>
            <w:pPr>
              <w:spacing w:line="560" w:lineRule="exact"/>
              <w:rPr>
                <w:rFonts w:ascii="方正仿宋_GBK" w:hAnsi="仿宋" w:eastAsia="方正仿宋_GBK"/>
                <w:color w:val="000000" w:themeColor="text1"/>
                <w:szCs w:val="28"/>
              </w:rPr>
            </w:pPr>
            <w:r>
              <w:rPr>
                <w:rFonts w:hint="eastAsia" w:ascii="方正仿宋_GBK" w:hAnsi="仿宋" w:eastAsia="方正仿宋_GBK" w:cs="仿宋_GB2312"/>
                <w:color w:val="000000" w:themeColor="text1"/>
                <w:szCs w:val="28"/>
                <w:lang w:val="zh-CN"/>
              </w:rPr>
              <w:t>（2）</w:t>
            </w:r>
            <w:r>
              <w:rPr>
                <w:rFonts w:hint="eastAsia" w:ascii="方正仿宋_GBK" w:hAnsi="仿宋" w:eastAsia="方正仿宋_GBK"/>
                <w:color w:val="000000" w:themeColor="text1"/>
                <w:szCs w:val="28"/>
              </w:rPr>
              <w:t>具有良好的商业信誉和健全的财务会计制度</w:t>
            </w:r>
          </w:p>
        </w:tc>
        <w:tc>
          <w:tcPr>
            <w:tcW w:w="5976" w:type="dxa"/>
            <w:vAlign w:val="center"/>
          </w:tcPr>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①提供2020年度财务状况报告（表）或其基本开户银行出具的资信证明复印件，本年度新成立或成立不满一年的组织和自然人无法提供财务状况报告（表）的，可提供银行出具的资信证明复印件。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560" w:lineRule="exact"/>
              <w:jc w:val="center"/>
              <w:rPr>
                <w:rFonts w:ascii="方正仿宋_GBK" w:hAnsi="仿宋" w:eastAsia="方正仿宋_GBK"/>
                <w:color w:val="000000" w:themeColor="text1"/>
                <w:szCs w:val="28"/>
              </w:rPr>
            </w:pPr>
          </w:p>
        </w:tc>
        <w:tc>
          <w:tcPr>
            <w:tcW w:w="567" w:type="dxa"/>
            <w:vMerge w:val="continue"/>
            <w:vAlign w:val="center"/>
          </w:tcPr>
          <w:p>
            <w:pPr>
              <w:spacing w:line="560" w:lineRule="exact"/>
              <w:rPr>
                <w:rFonts w:ascii="方正仿宋_GBK" w:hAnsi="仿宋" w:eastAsia="方正仿宋_GBK" w:cs="仿宋_GB2312"/>
                <w:color w:val="000000" w:themeColor="text1"/>
                <w:szCs w:val="28"/>
                <w:lang w:val="zh-CN"/>
              </w:rPr>
            </w:pPr>
          </w:p>
        </w:tc>
        <w:tc>
          <w:tcPr>
            <w:tcW w:w="2268" w:type="dxa"/>
            <w:vAlign w:val="center"/>
          </w:tcPr>
          <w:p>
            <w:pPr>
              <w:spacing w:line="560" w:lineRule="exact"/>
              <w:rPr>
                <w:rFonts w:ascii="方正仿宋_GBK" w:hAnsi="仿宋" w:eastAsia="方正仿宋_GBK" w:cs="仿宋_GB2312"/>
                <w:color w:val="000000" w:themeColor="text1"/>
                <w:szCs w:val="28"/>
                <w:lang w:val="zh-CN"/>
              </w:rPr>
            </w:pPr>
            <w:r>
              <w:rPr>
                <w:rFonts w:hint="eastAsia" w:ascii="方正仿宋_GBK" w:hAnsi="仿宋" w:eastAsia="方正仿宋_GBK" w:cs="仿宋_GB2312"/>
                <w:color w:val="000000" w:themeColor="text1"/>
                <w:szCs w:val="28"/>
                <w:lang w:val="zh-CN"/>
              </w:rPr>
              <w:t>（3）具有履行合同所必需的设备和专业技术能力</w:t>
            </w:r>
          </w:p>
        </w:tc>
        <w:tc>
          <w:tcPr>
            <w:tcW w:w="5976" w:type="dxa"/>
            <w:vAlign w:val="center"/>
          </w:tcPr>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①供应商提供书面声明或相关证明材料（见格式文件）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560" w:lineRule="exact"/>
              <w:jc w:val="center"/>
              <w:rPr>
                <w:rFonts w:ascii="方正仿宋_GBK" w:hAnsi="仿宋" w:eastAsia="方正仿宋_GBK"/>
                <w:color w:val="000000" w:themeColor="text1"/>
                <w:szCs w:val="28"/>
              </w:rPr>
            </w:pPr>
          </w:p>
        </w:tc>
        <w:tc>
          <w:tcPr>
            <w:tcW w:w="567" w:type="dxa"/>
            <w:vMerge w:val="continue"/>
            <w:vAlign w:val="center"/>
          </w:tcPr>
          <w:p>
            <w:pPr>
              <w:spacing w:line="560" w:lineRule="exact"/>
              <w:rPr>
                <w:rFonts w:ascii="方正仿宋_GBK" w:hAnsi="仿宋" w:eastAsia="方正仿宋_GBK" w:cs="仿宋_GB2312"/>
                <w:color w:val="000000" w:themeColor="text1"/>
                <w:szCs w:val="28"/>
                <w:lang w:val="zh-CN"/>
              </w:rPr>
            </w:pPr>
          </w:p>
        </w:tc>
        <w:tc>
          <w:tcPr>
            <w:tcW w:w="2268" w:type="dxa"/>
            <w:vAlign w:val="center"/>
          </w:tcPr>
          <w:p>
            <w:pPr>
              <w:spacing w:line="560" w:lineRule="exact"/>
              <w:rPr>
                <w:rFonts w:ascii="方正仿宋_GBK" w:hAnsi="仿宋" w:eastAsia="方正仿宋_GBK" w:cs="仿宋_GB2312"/>
                <w:color w:val="000000" w:themeColor="text1"/>
                <w:szCs w:val="28"/>
                <w:lang w:val="zh-CN"/>
              </w:rPr>
            </w:pPr>
            <w:r>
              <w:rPr>
                <w:rFonts w:hint="eastAsia" w:ascii="方正仿宋_GBK" w:hAnsi="仿宋" w:eastAsia="方正仿宋_GBK" w:cs="仿宋_GB2312"/>
                <w:color w:val="000000" w:themeColor="text1"/>
                <w:szCs w:val="28"/>
                <w:lang w:val="zh-CN"/>
              </w:rPr>
              <w:t>（4）有依法缴纳税收和社会保障金的良好记录</w:t>
            </w:r>
          </w:p>
        </w:tc>
        <w:tc>
          <w:tcPr>
            <w:tcW w:w="5976" w:type="dxa"/>
            <w:vAlign w:val="center"/>
          </w:tcPr>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①税务登记证（副本）复印件</w:t>
            </w:r>
          </w:p>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②缴纳社会保障金的证明材料复印件（缴纳社会保障金的证明材料指：社会保险登记证或缴纳社会保险的凭据）。</w:t>
            </w:r>
          </w:p>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③依法免税或不需要缴纳社会保障资金的供应商，应提供相应文件证明其依法免税或不需要缴纳社会保障资金。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560" w:lineRule="exact"/>
              <w:jc w:val="center"/>
              <w:rPr>
                <w:rFonts w:ascii="方正仿宋_GBK" w:hAnsi="仿宋" w:eastAsia="方正仿宋_GBK"/>
                <w:color w:val="000000" w:themeColor="text1"/>
                <w:szCs w:val="28"/>
              </w:rPr>
            </w:pPr>
          </w:p>
        </w:tc>
        <w:tc>
          <w:tcPr>
            <w:tcW w:w="567" w:type="dxa"/>
            <w:vMerge w:val="continue"/>
            <w:vAlign w:val="center"/>
          </w:tcPr>
          <w:p>
            <w:pPr>
              <w:spacing w:line="560" w:lineRule="exact"/>
              <w:rPr>
                <w:rFonts w:ascii="方正仿宋_GBK" w:hAnsi="仿宋" w:eastAsia="方正仿宋_GBK" w:cs="仿宋_GB2312"/>
                <w:color w:val="000000" w:themeColor="text1"/>
                <w:szCs w:val="28"/>
                <w:lang w:val="zh-CN"/>
              </w:rPr>
            </w:pPr>
          </w:p>
        </w:tc>
        <w:tc>
          <w:tcPr>
            <w:tcW w:w="2268" w:type="dxa"/>
            <w:vAlign w:val="center"/>
          </w:tcPr>
          <w:p>
            <w:pPr>
              <w:spacing w:line="560" w:lineRule="exact"/>
              <w:rPr>
                <w:rFonts w:ascii="方正仿宋_GBK" w:hAnsi="仿宋" w:eastAsia="方正仿宋_GBK" w:cs="仿宋_GB2312"/>
                <w:color w:val="000000" w:themeColor="text1"/>
                <w:szCs w:val="28"/>
                <w:lang w:val="zh-CN"/>
              </w:rPr>
            </w:pPr>
            <w:r>
              <w:rPr>
                <w:rFonts w:hint="eastAsia" w:ascii="方正仿宋_GBK" w:hAnsi="仿宋" w:eastAsia="方正仿宋_GBK"/>
                <w:color w:val="000000" w:themeColor="text1"/>
                <w:szCs w:val="28"/>
              </w:rPr>
              <w:t>（5）参加政府采购活动前三年内，在经营活动中没有重大违法记录（注</w:t>
            </w:r>
            <w:r>
              <w:rPr>
                <w:rFonts w:hint="eastAsia" w:ascii="方正仿宋_GBK" w:hAnsi="宋体" w:eastAsia="方正仿宋_GBK" w:cs="宋体"/>
                <w:color w:val="000000" w:themeColor="text1"/>
                <w:kern w:val="0"/>
                <w:szCs w:val="28"/>
              </w:rPr>
              <w:t>2</w:t>
            </w:r>
            <w:r>
              <w:rPr>
                <w:rFonts w:hint="eastAsia" w:ascii="方正仿宋_GBK" w:hAnsi="仿宋" w:eastAsia="方正仿宋_GBK"/>
                <w:color w:val="000000" w:themeColor="text1"/>
                <w:szCs w:val="28"/>
              </w:rPr>
              <w:t>）</w:t>
            </w:r>
          </w:p>
        </w:tc>
        <w:tc>
          <w:tcPr>
            <w:tcW w:w="5976" w:type="dxa"/>
            <w:vAlign w:val="center"/>
          </w:tcPr>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①供应商提供书面声明（见格式文件）；</w:t>
            </w:r>
          </w:p>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②采购人或采购代理机构将通过 “信用中国”网站(www.creditchina.gov.cn)、"中国政府采购网"(www.ccgp-chongqing.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17" w:type="dxa"/>
            <w:vMerge w:val="continue"/>
            <w:vAlign w:val="center"/>
          </w:tcPr>
          <w:p>
            <w:pPr>
              <w:spacing w:line="560" w:lineRule="exact"/>
              <w:jc w:val="center"/>
              <w:rPr>
                <w:rFonts w:ascii="方正仿宋_GBK" w:hAnsi="仿宋" w:eastAsia="方正仿宋_GBK"/>
                <w:color w:val="000000" w:themeColor="text1"/>
                <w:szCs w:val="28"/>
              </w:rPr>
            </w:pPr>
          </w:p>
        </w:tc>
        <w:tc>
          <w:tcPr>
            <w:tcW w:w="567" w:type="dxa"/>
            <w:vMerge w:val="continue"/>
            <w:vAlign w:val="center"/>
          </w:tcPr>
          <w:p>
            <w:pPr>
              <w:spacing w:line="560" w:lineRule="exact"/>
              <w:rPr>
                <w:rFonts w:ascii="方正仿宋_GBK" w:hAnsi="仿宋" w:eastAsia="方正仿宋_GBK" w:cs="仿宋_GB2312"/>
                <w:color w:val="000000" w:themeColor="text1"/>
                <w:szCs w:val="28"/>
              </w:rPr>
            </w:pPr>
          </w:p>
        </w:tc>
        <w:tc>
          <w:tcPr>
            <w:tcW w:w="2268" w:type="dxa"/>
            <w:vAlign w:val="center"/>
          </w:tcPr>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（6）法律、行政法规规定的其他条件</w:t>
            </w:r>
          </w:p>
        </w:tc>
        <w:tc>
          <w:tcPr>
            <w:tcW w:w="5976" w:type="dxa"/>
            <w:vAlign w:val="center"/>
          </w:tcPr>
          <w:p>
            <w:pPr>
              <w:spacing w:line="560" w:lineRule="exact"/>
              <w:rPr>
                <w:rFonts w:ascii="方正仿宋_GBK" w:hAnsi="仿宋" w:eastAsia="方正仿宋_GBK"/>
                <w:color w:val="000000" w:themeColor="text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60" w:lineRule="exact"/>
              <w:jc w:val="center"/>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2</w:t>
            </w:r>
          </w:p>
        </w:tc>
        <w:tc>
          <w:tcPr>
            <w:tcW w:w="2835" w:type="dxa"/>
            <w:gridSpan w:val="2"/>
            <w:vAlign w:val="center"/>
          </w:tcPr>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特定资格条件</w:t>
            </w:r>
          </w:p>
        </w:tc>
        <w:tc>
          <w:tcPr>
            <w:tcW w:w="5976" w:type="dxa"/>
            <w:vAlign w:val="center"/>
          </w:tcPr>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按第一篇“三、供应商资格要求（二）特定资格条件”的要求提交</w:t>
            </w:r>
          </w:p>
        </w:tc>
      </w:tr>
    </w:tbl>
    <w:p>
      <w:pPr>
        <w:snapToGrid w:val="0"/>
        <w:spacing w:line="560" w:lineRule="exact"/>
        <w:ind w:firstLine="420" w:firstLineChars="200"/>
        <w:rPr>
          <w:rFonts w:cs="宋体"/>
          <w:szCs w:val="21"/>
        </w:rPr>
      </w:pPr>
      <w:r>
        <w:rPr>
          <w:rFonts w:hint="eastAsia" w:cs="宋体"/>
          <w:szCs w:val="21"/>
        </w:rPr>
        <w:t>注1：供应商按“多证合一”登记制度办理营业执照的，组织机构代码证、税务登记证（副本）和社会保险登记证以供应商所提供的营业执照（副本）复印件为准。</w:t>
      </w:r>
    </w:p>
    <w:p>
      <w:pPr>
        <w:snapToGrid w:val="0"/>
        <w:spacing w:line="560" w:lineRule="exact"/>
        <w:ind w:firstLine="420" w:firstLineChars="200"/>
        <w:rPr>
          <w:rFonts w:cs="宋体"/>
          <w:szCs w:val="21"/>
        </w:rPr>
      </w:pPr>
      <w:r>
        <w:rPr>
          <w:rFonts w:hint="eastAsia" w:cs="宋体"/>
          <w:szCs w:val="21"/>
        </w:rPr>
        <w:t>注2：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w:t>
      </w:r>
    </w:p>
    <w:p>
      <w:pPr>
        <w:snapToGrid w:val="0"/>
        <w:spacing w:line="560" w:lineRule="exact"/>
        <w:ind w:firstLine="420" w:firstLineChars="200"/>
        <w:rPr>
          <w:rFonts w:cs="宋体"/>
          <w:szCs w:val="21"/>
        </w:rPr>
      </w:pPr>
      <w:r>
        <w:rPr>
          <w:rFonts w:hint="eastAsia" w:cs="宋体"/>
          <w:szCs w:val="21"/>
        </w:rPr>
        <w:t>2.符合性检查。依据竞争性磋商文件的规定，磋商小组从响应文件的有效性、完整性和对竞争性磋商文件的响应程度进行审查，以确定是否对竞争性磋商文件的实质性要求作出响应。符合性检查资料表如下：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7" w:type="dxa"/>
            <w:vAlign w:val="center"/>
          </w:tcPr>
          <w:p>
            <w:pPr>
              <w:spacing w:line="560" w:lineRule="exact"/>
              <w:jc w:val="center"/>
              <w:rPr>
                <w:rFonts w:ascii="方正仿宋_GBK" w:hAnsi="宋体" w:eastAsia="方正仿宋_GBK" w:cs="宋体"/>
                <w:color w:val="000000" w:themeColor="text1"/>
                <w:kern w:val="0"/>
                <w:szCs w:val="28"/>
              </w:rPr>
            </w:pPr>
            <w:r>
              <w:rPr>
                <w:rFonts w:hint="eastAsia" w:ascii="方正仿宋_GBK" w:hAnsi="宋体" w:eastAsia="方正仿宋_GBK" w:cs="宋体"/>
                <w:color w:val="000000" w:themeColor="text1"/>
                <w:kern w:val="0"/>
                <w:szCs w:val="28"/>
              </w:rPr>
              <w:t>序号</w:t>
            </w:r>
          </w:p>
        </w:tc>
        <w:tc>
          <w:tcPr>
            <w:tcW w:w="3402" w:type="dxa"/>
            <w:gridSpan w:val="2"/>
            <w:vAlign w:val="center"/>
          </w:tcPr>
          <w:p>
            <w:pPr>
              <w:spacing w:line="560" w:lineRule="exact"/>
              <w:jc w:val="center"/>
              <w:rPr>
                <w:rFonts w:ascii="方正仿宋_GBK" w:hAnsi="宋体" w:eastAsia="方正仿宋_GBK" w:cs="宋体"/>
                <w:color w:val="000000" w:themeColor="text1"/>
                <w:kern w:val="0"/>
                <w:szCs w:val="28"/>
              </w:rPr>
            </w:pPr>
            <w:r>
              <w:rPr>
                <w:rFonts w:hint="eastAsia" w:ascii="方正仿宋_GBK" w:hAnsi="宋体" w:eastAsia="方正仿宋_GBK" w:cs="宋体"/>
                <w:color w:val="000000" w:themeColor="text1"/>
                <w:kern w:val="0"/>
                <w:szCs w:val="28"/>
              </w:rPr>
              <w:t>评审因素</w:t>
            </w:r>
          </w:p>
        </w:tc>
        <w:tc>
          <w:tcPr>
            <w:tcW w:w="5409" w:type="dxa"/>
            <w:vAlign w:val="center"/>
          </w:tcPr>
          <w:p>
            <w:pPr>
              <w:spacing w:line="560" w:lineRule="exact"/>
              <w:jc w:val="center"/>
              <w:rPr>
                <w:rFonts w:ascii="方正仿宋_GBK" w:hAnsi="宋体" w:eastAsia="方正仿宋_GBK" w:cs="宋体"/>
                <w:color w:val="000000" w:themeColor="text1"/>
                <w:kern w:val="0"/>
                <w:szCs w:val="28"/>
              </w:rPr>
            </w:pPr>
            <w:r>
              <w:rPr>
                <w:rFonts w:hint="eastAsia" w:ascii="方正仿宋_GBK" w:hAnsi="宋体" w:eastAsia="方正仿宋_GBK" w:cs="宋体"/>
                <w:color w:val="000000" w:themeColor="text1"/>
                <w:kern w:val="0"/>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17" w:type="dxa"/>
            <w:vMerge w:val="restart"/>
            <w:vAlign w:val="center"/>
          </w:tcPr>
          <w:p>
            <w:pPr>
              <w:spacing w:line="560" w:lineRule="exact"/>
              <w:jc w:val="center"/>
              <w:rPr>
                <w:rFonts w:ascii="方正仿宋_GBK" w:hAnsi="宋体" w:eastAsia="方正仿宋_GBK" w:cs="宋体"/>
                <w:color w:val="000000" w:themeColor="text1"/>
                <w:kern w:val="0"/>
                <w:szCs w:val="28"/>
              </w:rPr>
            </w:pPr>
            <w:r>
              <w:rPr>
                <w:rFonts w:hint="eastAsia" w:ascii="方正仿宋_GBK" w:hAnsi="宋体" w:eastAsia="方正仿宋_GBK" w:cs="宋体"/>
                <w:color w:val="000000" w:themeColor="text1"/>
                <w:kern w:val="0"/>
                <w:szCs w:val="28"/>
              </w:rPr>
              <w:t>1</w:t>
            </w:r>
          </w:p>
        </w:tc>
        <w:tc>
          <w:tcPr>
            <w:tcW w:w="1418" w:type="dxa"/>
            <w:vMerge w:val="restart"/>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s="宋体"/>
                <w:color w:val="000000" w:themeColor="text1"/>
                <w:kern w:val="0"/>
                <w:szCs w:val="28"/>
              </w:rPr>
              <w:t>有效性审查</w:t>
            </w:r>
          </w:p>
        </w:tc>
        <w:tc>
          <w:tcPr>
            <w:tcW w:w="1984" w:type="dxa"/>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olor w:val="000000" w:themeColor="text1"/>
                <w:szCs w:val="28"/>
              </w:rPr>
              <w:t>响应文件签署</w:t>
            </w:r>
          </w:p>
        </w:tc>
        <w:tc>
          <w:tcPr>
            <w:tcW w:w="5409" w:type="dxa"/>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olor w:val="000000" w:themeColor="text1"/>
                <w:szCs w:val="28"/>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7" w:type="dxa"/>
            <w:vMerge w:val="continue"/>
            <w:vAlign w:val="center"/>
          </w:tcPr>
          <w:p>
            <w:pPr>
              <w:spacing w:line="560" w:lineRule="exact"/>
              <w:jc w:val="center"/>
              <w:rPr>
                <w:rFonts w:ascii="方正仿宋_GBK" w:hAnsi="宋体" w:eastAsia="方正仿宋_GBK" w:cs="宋体"/>
                <w:color w:val="000000" w:themeColor="text1"/>
                <w:kern w:val="0"/>
                <w:szCs w:val="28"/>
              </w:rPr>
            </w:pPr>
          </w:p>
        </w:tc>
        <w:tc>
          <w:tcPr>
            <w:tcW w:w="1418" w:type="dxa"/>
            <w:vMerge w:val="continue"/>
            <w:vAlign w:val="center"/>
          </w:tcPr>
          <w:p>
            <w:pPr>
              <w:spacing w:line="560" w:lineRule="exact"/>
              <w:rPr>
                <w:rFonts w:ascii="方正仿宋_GBK" w:hAnsi="宋体" w:eastAsia="方正仿宋_GBK" w:cs="宋体"/>
                <w:color w:val="000000" w:themeColor="text1"/>
                <w:kern w:val="0"/>
                <w:szCs w:val="28"/>
              </w:rPr>
            </w:pPr>
          </w:p>
        </w:tc>
        <w:tc>
          <w:tcPr>
            <w:tcW w:w="1984" w:type="dxa"/>
            <w:vAlign w:val="center"/>
          </w:tcPr>
          <w:p>
            <w:pPr>
              <w:spacing w:line="560" w:lineRule="exact"/>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法定代表人身份证明及授权委托书</w:t>
            </w:r>
          </w:p>
        </w:tc>
        <w:tc>
          <w:tcPr>
            <w:tcW w:w="5409" w:type="dxa"/>
            <w:vAlign w:val="center"/>
          </w:tcPr>
          <w:p>
            <w:pPr>
              <w:spacing w:line="560" w:lineRule="exact"/>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法定代表人身份证明及授权委托书有效，符合竞争性磋商文件规定的格式，签字和盖章齐全。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17" w:type="dxa"/>
            <w:vMerge w:val="continue"/>
            <w:vAlign w:val="center"/>
          </w:tcPr>
          <w:p>
            <w:pPr>
              <w:spacing w:line="560" w:lineRule="exact"/>
              <w:jc w:val="center"/>
              <w:rPr>
                <w:rFonts w:ascii="方正仿宋_GBK" w:hAnsi="宋体" w:eastAsia="方正仿宋_GBK" w:cs="宋体"/>
                <w:color w:val="000000" w:themeColor="text1"/>
                <w:kern w:val="0"/>
                <w:szCs w:val="28"/>
              </w:rPr>
            </w:pPr>
          </w:p>
        </w:tc>
        <w:tc>
          <w:tcPr>
            <w:tcW w:w="1418" w:type="dxa"/>
            <w:vMerge w:val="continue"/>
            <w:vAlign w:val="center"/>
          </w:tcPr>
          <w:p>
            <w:pPr>
              <w:spacing w:line="560" w:lineRule="exact"/>
              <w:rPr>
                <w:rFonts w:ascii="方正仿宋_GBK" w:hAnsi="宋体" w:eastAsia="方正仿宋_GBK" w:cs="宋体"/>
                <w:color w:val="000000" w:themeColor="text1"/>
                <w:kern w:val="0"/>
                <w:szCs w:val="28"/>
              </w:rPr>
            </w:pPr>
          </w:p>
        </w:tc>
        <w:tc>
          <w:tcPr>
            <w:tcW w:w="1984" w:type="dxa"/>
            <w:vAlign w:val="center"/>
          </w:tcPr>
          <w:p>
            <w:pPr>
              <w:spacing w:line="560" w:lineRule="exact"/>
              <w:rPr>
                <w:rFonts w:ascii="方正仿宋_GBK" w:hAnsi="宋体" w:eastAsia="方正仿宋_GBK" w:cs="仿宋_GB2312"/>
                <w:color w:val="000000" w:themeColor="text1"/>
                <w:szCs w:val="28"/>
                <w:lang w:val="zh-CN"/>
              </w:rPr>
            </w:pPr>
            <w:r>
              <w:rPr>
                <w:rFonts w:hint="eastAsia" w:ascii="方正仿宋_GBK" w:hAnsi="宋体" w:eastAsia="方正仿宋_GBK" w:cs="仿宋_GB2312"/>
                <w:color w:val="000000" w:themeColor="text1"/>
                <w:szCs w:val="28"/>
              </w:rPr>
              <w:t>响应</w:t>
            </w:r>
            <w:r>
              <w:rPr>
                <w:rFonts w:hint="eastAsia" w:ascii="方正仿宋_GBK" w:hAnsi="宋体" w:eastAsia="方正仿宋_GBK" w:cs="仿宋_GB2312"/>
                <w:color w:val="000000" w:themeColor="text1"/>
                <w:szCs w:val="28"/>
                <w:lang w:val="zh-CN"/>
              </w:rPr>
              <w:t>方案</w:t>
            </w:r>
          </w:p>
        </w:tc>
        <w:tc>
          <w:tcPr>
            <w:tcW w:w="5409" w:type="dxa"/>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s="仿宋_GB2312"/>
                <w:color w:val="000000" w:themeColor="text1"/>
                <w:szCs w:val="28"/>
                <w:lang w:val="zh-CN"/>
              </w:rPr>
              <w:t>只能有一个</w:t>
            </w:r>
            <w:r>
              <w:rPr>
                <w:rFonts w:hint="eastAsia" w:ascii="方正仿宋_GBK" w:hAnsi="宋体" w:eastAsia="方正仿宋_GBK" w:cs="仿宋_GB2312"/>
                <w:color w:val="000000" w:themeColor="text1"/>
                <w:szCs w:val="28"/>
              </w:rPr>
              <w:t>响应</w:t>
            </w:r>
            <w:r>
              <w:rPr>
                <w:rFonts w:hint="eastAsia" w:ascii="方正仿宋_GBK" w:hAnsi="宋体" w:eastAsia="方正仿宋_GBK" w:cs="仿宋_GB2312"/>
                <w:color w:val="000000" w:themeColor="text1"/>
                <w:szCs w:val="28"/>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vMerge w:val="continue"/>
            <w:vAlign w:val="center"/>
          </w:tcPr>
          <w:p>
            <w:pPr>
              <w:spacing w:line="560" w:lineRule="exact"/>
              <w:jc w:val="center"/>
              <w:rPr>
                <w:rFonts w:ascii="方正仿宋_GBK" w:hAnsi="宋体" w:eastAsia="方正仿宋_GBK" w:cs="宋体"/>
                <w:color w:val="000000" w:themeColor="text1"/>
                <w:kern w:val="0"/>
                <w:szCs w:val="28"/>
              </w:rPr>
            </w:pPr>
          </w:p>
        </w:tc>
        <w:tc>
          <w:tcPr>
            <w:tcW w:w="1418" w:type="dxa"/>
            <w:vMerge w:val="continue"/>
            <w:vAlign w:val="center"/>
          </w:tcPr>
          <w:p>
            <w:pPr>
              <w:spacing w:line="560" w:lineRule="exact"/>
              <w:rPr>
                <w:rFonts w:ascii="方正仿宋_GBK" w:hAnsi="宋体" w:eastAsia="方正仿宋_GBK" w:cs="宋体"/>
                <w:color w:val="000000" w:themeColor="text1"/>
                <w:kern w:val="0"/>
                <w:szCs w:val="28"/>
              </w:rPr>
            </w:pPr>
          </w:p>
        </w:tc>
        <w:tc>
          <w:tcPr>
            <w:tcW w:w="1984" w:type="dxa"/>
            <w:vAlign w:val="center"/>
          </w:tcPr>
          <w:p>
            <w:pPr>
              <w:spacing w:line="560" w:lineRule="exact"/>
              <w:rPr>
                <w:rFonts w:ascii="方正仿宋_GBK" w:hAnsi="宋体" w:eastAsia="方正仿宋_GBK" w:cs="仿宋_GB2312"/>
                <w:color w:val="000000" w:themeColor="text1"/>
                <w:szCs w:val="28"/>
                <w:lang w:val="zh-CN"/>
              </w:rPr>
            </w:pPr>
            <w:r>
              <w:rPr>
                <w:rFonts w:hint="eastAsia" w:ascii="方正仿宋_GBK" w:hAnsi="宋体" w:eastAsia="方正仿宋_GBK"/>
                <w:color w:val="000000" w:themeColor="text1"/>
                <w:szCs w:val="28"/>
              </w:rPr>
              <w:t>报价唯一</w:t>
            </w:r>
          </w:p>
        </w:tc>
        <w:tc>
          <w:tcPr>
            <w:tcW w:w="5409" w:type="dxa"/>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olor w:val="000000" w:themeColor="text1"/>
                <w:szCs w:val="28"/>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17" w:type="dxa"/>
            <w:vAlign w:val="center"/>
          </w:tcPr>
          <w:p>
            <w:pPr>
              <w:spacing w:line="560" w:lineRule="exact"/>
              <w:jc w:val="center"/>
              <w:rPr>
                <w:rFonts w:ascii="方正仿宋_GBK" w:hAnsi="宋体" w:eastAsia="方正仿宋_GBK" w:cs="宋体"/>
                <w:color w:val="000000" w:themeColor="text1"/>
                <w:kern w:val="0"/>
                <w:szCs w:val="28"/>
              </w:rPr>
            </w:pPr>
            <w:r>
              <w:rPr>
                <w:rFonts w:hint="eastAsia" w:ascii="方正仿宋_GBK" w:hAnsi="宋体" w:eastAsia="方正仿宋_GBK" w:cs="宋体"/>
                <w:color w:val="000000" w:themeColor="text1"/>
                <w:kern w:val="0"/>
                <w:szCs w:val="28"/>
              </w:rPr>
              <w:t>2</w:t>
            </w:r>
          </w:p>
        </w:tc>
        <w:tc>
          <w:tcPr>
            <w:tcW w:w="1418" w:type="dxa"/>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s="宋体"/>
                <w:color w:val="000000" w:themeColor="text1"/>
                <w:kern w:val="0"/>
                <w:szCs w:val="28"/>
              </w:rPr>
              <w:t>完整性审查</w:t>
            </w:r>
          </w:p>
        </w:tc>
        <w:tc>
          <w:tcPr>
            <w:tcW w:w="1984" w:type="dxa"/>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s="仿宋_GB2312"/>
                <w:color w:val="000000" w:themeColor="text1"/>
                <w:szCs w:val="28"/>
              </w:rPr>
              <w:t>响应</w:t>
            </w:r>
            <w:r>
              <w:rPr>
                <w:rFonts w:hint="eastAsia" w:ascii="方正仿宋_GBK" w:hAnsi="宋体" w:eastAsia="方正仿宋_GBK" w:cs="仿宋_GB2312"/>
                <w:color w:val="000000" w:themeColor="text1"/>
                <w:szCs w:val="28"/>
                <w:lang w:val="zh-CN"/>
              </w:rPr>
              <w:t>文件份数</w:t>
            </w:r>
          </w:p>
        </w:tc>
        <w:tc>
          <w:tcPr>
            <w:tcW w:w="5409" w:type="dxa"/>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s="仿宋_GB2312"/>
                <w:color w:val="000000" w:themeColor="text1"/>
                <w:szCs w:val="28"/>
              </w:rPr>
              <w:t>响应</w:t>
            </w:r>
            <w:r>
              <w:rPr>
                <w:rFonts w:hint="eastAsia" w:ascii="方正仿宋_GBK" w:hAnsi="宋体" w:eastAsia="方正仿宋_GBK" w:cs="仿宋_GB2312"/>
                <w:color w:val="000000" w:themeColor="text1"/>
                <w:szCs w:val="28"/>
                <w:lang w:val="zh-CN"/>
              </w:rPr>
              <w:t>文件正、副本数量符合</w:t>
            </w:r>
            <w:r>
              <w:rPr>
                <w:rFonts w:hint="eastAsia" w:ascii="方正仿宋_GBK" w:hAnsi="宋体" w:eastAsia="方正仿宋_GBK" w:cs="仿宋_GB2312"/>
                <w:color w:val="000000" w:themeColor="text1"/>
                <w:szCs w:val="28"/>
              </w:rPr>
              <w:t>竞争性磋商</w:t>
            </w:r>
            <w:r>
              <w:rPr>
                <w:rFonts w:hint="eastAsia" w:ascii="方正仿宋_GBK" w:hAnsi="宋体" w:eastAsia="方正仿宋_GBK" w:cs="仿宋_GB2312"/>
                <w:color w:val="000000" w:themeColor="text1"/>
                <w:szCs w:val="28"/>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17" w:type="dxa"/>
            <w:vMerge w:val="restart"/>
            <w:vAlign w:val="center"/>
          </w:tcPr>
          <w:p>
            <w:pPr>
              <w:spacing w:line="560" w:lineRule="exact"/>
              <w:jc w:val="center"/>
              <w:rPr>
                <w:rFonts w:ascii="方正仿宋_GBK" w:hAnsi="宋体" w:eastAsia="方正仿宋_GBK" w:cs="宋体"/>
                <w:color w:val="000000" w:themeColor="text1"/>
                <w:kern w:val="0"/>
                <w:szCs w:val="28"/>
              </w:rPr>
            </w:pPr>
            <w:r>
              <w:rPr>
                <w:rFonts w:hint="eastAsia" w:ascii="方正仿宋_GBK" w:hAnsi="宋体" w:eastAsia="方正仿宋_GBK" w:cs="宋体"/>
                <w:color w:val="000000" w:themeColor="text1"/>
                <w:kern w:val="0"/>
                <w:szCs w:val="28"/>
              </w:rPr>
              <w:t>3</w:t>
            </w:r>
          </w:p>
        </w:tc>
        <w:tc>
          <w:tcPr>
            <w:tcW w:w="1418" w:type="dxa"/>
            <w:vMerge w:val="restart"/>
            <w:vAlign w:val="center"/>
          </w:tcPr>
          <w:p>
            <w:pPr>
              <w:spacing w:line="560" w:lineRule="exact"/>
              <w:rPr>
                <w:rFonts w:ascii="方正仿宋_GBK" w:hAnsi="宋体" w:eastAsia="方正仿宋_GBK" w:cs="仿宋_GB2312"/>
                <w:color w:val="000000" w:themeColor="text1"/>
                <w:szCs w:val="28"/>
                <w:lang w:val="zh-CN"/>
              </w:rPr>
            </w:pPr>
            <w:r>
              <w:rPr>
                <w:rFonts w:hint="eastAsia" w:ascii="方正仿宋_GBK" w:hAnsi="宋体" w:eastAsia="方正仿宋_GBK" w:cs="宋体"/>
                <w:color w:val="000000" w:themeColor="text1"/>
                <w:kern w:val="0"/>
                <w:szCs w:val="28"/>
              </w:rPr>
              <w:t>竞争性磋商文件的响应程度审查</w:t>
            </w:r>
          </w:p>
        </w:tc>
        <w:tc>
          <w:tcPr>
            <w:tcW w:w="1984" w:type="dxa"/>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s="宋体"/>
                <w:color w:val="000000" w:themeColor="text1"/>
                <w:kern w:val="0"/>
                <w:szCs w:val="28"/>
              </w:rPr>
              <w:t>响应文件内容</w:t>
            </w:r>
          </w:p>
        </w:tc>
        <w:tc>
          <w:tcPr>
            <w:tcW w:w="5409" w:type="dxa"/>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s="仿宋_GB2312"/>
                <w:color w:val="000000" w:themeColor="text1"/>
                <w:szCs w:val="28"/>
              </w:rPr>
              <w:t>对竞争性磋商文件第三篇</w:t>
            </w:r>
            <w:r>
              <w:rPr>
                <w:rFonts w:hint="eastAsia" w:eastAsia="方正仿宋_GBK" w:cs="仿宋_GB2312" w:asciiTheme="minorHAnsi" w:hAnsiTheme="minorHAnsi"/>
                <w:color w:val="000000" w:themeColor="text1"/>
                <w:szCs w:val="28"/>
              </w:rPr>
              <w:t>、第四篇</w:t>
            </w:r>
            <w:r>
              <w:rPr>
                <w:rFonts w:hint="eastAsia" w:ascii="方正仿宋_GBK" w:hAnsi="宋体" w:eastAsia="方正仿宋_GBK" w:cs="仿宋_GB2312"/>
                <w:color w:val="000000" w:themeColor="text1"/>
                <w:szCs w:val="28"/>
              </w:rPr>
              <w:t>规定的磋商内容进行响应。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7" w:type="dxa"/>
            <w:vMerge w:val="continue"/>
            <w:vAlign w:val="center"/>
          </w:tcPr>
          <w:p>
            <w:pPr>
              <w:spacing w:line="560" w:lineRule="exact"/>
              <w:jc w:val="center"/>
              <w:rPr>
                <w:rFonts w:ascii="方正仿宋_GBK" w:hAnsi="宋体" w:eastAsia="方正仿宋_GBK" w:cs="宋体"/>
                <w:color w:val="000000" w:themeColor="text1"/>
                <w:kern w:val="0"/>
                <w:szCs w:val="28"/>
              </w:rPr>
            </w:pPr>
          </w:p>
        </w:tc>
        <w:tc>
          <w:tcPr>
            <w:tcW w:w="1418" w:type="dxa"/>
            <w:vMerge w:val="continue"/>
            <w:vAlign w:val="center"/>
          </w:tcPr>
          <w:p>
            <w:pPr>
              <w:spacing w:line="560" w:lineRule="exact"/>
              <w:rPr>
                <w:rFonts w:ascii="方正仿宋_GBK" w:hAnsi="宋体" w:eastAsia="方正仿宋_GBK" w:cs="仿宋_GB2312"/>
                <w:color w:val="000000" w:themeColor="text1"/>
                <w:szCs w:val="28"/>
                <w:lang w:val="zh-CN"/>
              </w:rPr>
            </w:pPr>
          </w:p>
        </w:tc>
        <w:tc>
          <w:tcPr>
            <w:tcW w:w="1984" w:type="dxa"/>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s="宋体"/>
                <w:color w:val="000000" w:themeColor="text1"/>
                <w:kern w:val="0"/>
                <w:szCs w:val="28"/>
              </w:rPr>
              <w:t>磋商有效期</w:t>
            </w:r>
          </w:p>
        </w:tc>
        <w:tc>
          <w:tcPr>
            <w:tcW w:w="5409" w:type="dxa"/>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s="宋体"/>
                <w:color w:val="000000" w:themeColor="text1"/>
                <w:kern w:val="0"/>
                <w:szCs w:val="28"/>
              </w:rPr>
              <w:t>满足磋商文件</w:t>
            </w:r>
            <w:r>
              <w:rPr>
                <w:rFonts w:hint="eastAsia" w:ascii="方正仿宋_GBK" w:hAnsi="宋体" w:eastAsia="方正仿宋_GBK" w:cs="仿宋_GB2312"/>
                <w:color w:val="000000" w:themeColor="text1"/>
                <w:szCs w:val="28"/>
                <w:lang w:val="zh-CN"/>
              </w:rPr>
              <w:t>规定。</w:t>
            </w:r>
          </w:p>
        </w:tc>
      </w:tr>
    </w:tbl>
    <w:p>
      <w:pPr>
        <w:spacing w:line="560" w:lineRule="exact"/>
        <w:ind w:firstLine="315" w:firstLineChars="150"/>
        <w:rPr>
          <w:rFonts w:cs="宋体"/>
          <w:szCs w:val="21"/>
        </w:rPr>
      </w:pPr>
      <w:r>
        <w:rPr>
          <w:rFonts w:hint="eastAsia" w:cs="宋体"/>
          <w:szCs w:val="21"/>
        </w:rPr>
        <w:t>（三）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60" w:lineRule="exact"/>
        <w:ind w:firstLine="315" w:firstLineChars="150"/>
        <w:rPr>
          <w:rFonts w:cs="宋体"/>
          <w:szCs w:val="21"/>
        </w:rPr>
      </w:pPr>
      <w:r>
        <w:rPr>
          <w:rFonts w:hint="eastAsia" w:cs="宋体"/>
          <w:szCs w:val="21"/>
        </w:rPr>
        <w:t>（四）供应商的澄清、说明或者更正应当由法定代表人或其授权代表签字或者加盖公章。由授权代表签字的，应当附法定代表人授权书。供应商为自然人的，应当由本人签字并附身份证明。</w:t>
      </w:r>
    </w:p>
    <w:p>
      <w:pPr>
        <w:spacing w:line="560" w:lineRule="exact"/>
        <w:ind w:firstLine="315" w:firstLineChars="150"/>
        <w:rPr>
          <w:rFonts w:cs="宋体"/>
          <w:szCs w:val="21"/>
        </w:rPr>
      </w:pPr>
      <w:r>
        <w:rPr>
          <w:rFonts w:hint="eastAsia" w:cs="宋体"/>
          <w:szCs w:val="21"/>
        </w:rPr>
        <w:t>（五）在磋商过程中磋商的任何一方不得向他人透露与磋商有关的技术资料、价格或其他信息。</w:t>
      </w:r>
    </w:p>
    <w:p>
      <w:pPr>
        <w:spacing w:line="560" w:lineRule="exact"/>
        <w:ind w:firstLine="315" w:firstLineChars="150"/>
        <w:rPr>
          <w:rFonts w:cs="宋体"/>
          <w:szCs w:val="21"/>
        </w:rPr>
      </w:pPr>
      <w:r>
        <w:rPr>
          <w:rFonts w:hint="eastAsia" w:cs="宋体"/>
          <w:szCs w:val="21"/>
        </w:rPr>
        <w:t>（六）供应商在磋商时作出的所有书面承诺须由法定代表人或其授权代表签字。</w:t>
      </w:r>
    </w:p>
    <w:p>
      <w:pPr>
        <w:spacing w:line="560" w:lineRule="exact"/>
        <w:ind w:firstLine="315" w:firstLineChars="150"/>
        <w:rPr>
          <w:rFonts w:cs="宋体"/>
          <w:szCs w:val="21"/>
        </w:rPr>
      </w:pPr>
      <w:r>
        <w:rPr>
          <w:rFonts w:hint="eastAsia" w:cs="宋体"/>
          <w:szCs w:val="21"/>
        </w:rPr>
        <w:t>（七）通过资格性审查和符合性审查的供应商提交最后报价及有关承诺（填写《最后报价表》提交）。已提交响应文件但未在规定时间内进行最后报价的供应商，视为放弃最后报价，以供应商响应文件中的报价为准。</w:t>
      </w:r>
    </w:p>
    <w:p>
      <w:pPr>
        <w:pStyle w:val="4"/>
        <w:spacing w:before="0" w:after="0" w:line="560" w:lineRule="exact"/>
        <w:ind w:firstLine="562" w:firstLineChars="200"/>
        <w:rPr>
          <w:rFonts w:cs="宋体"/>
          <w:bCs w:val="0"/>
          <w:sz w:val="28"/>
          <w:szCs w:val="28"/>
        </w:rPr>
      </w:pPr>
      <w:bookmarkStart w:id="30" w:name="_Toc29543169"/>
      <w:bookmarkStart w:id="31" w:name="_Toc102227320"/>
      <w:bookmarkStart w:id="32" w:name="_Toc342913394"/>
      <w:r>
        <w:rPr>
          <w:rFonts w:hint="eastAsia" w:cs="宋体"/>
          <w:bCs w:val="0"/>
          <w:sz w:val="28"/>
          <w:szCs w:val="28"/>
        </w:rPr>
        <w:t>五、</w:t>
      </w:r>
      <w:bookmarkEnd w:id="30"/>
      <w:r>
        <w:rPr>
          <w:rFonts w:hint="eastAsia" w:cs="宋体"/>
          <w:bCs w:val="0"/>
          <w:sz w:val="28"/>
          <w:szCs w:val="28"/>
        </w:rPr>
        <w:t>正式评审</w:t>
      </w:r>
    </w:p>
    <w:p>
      <w:pPr>
        <w:spacing w:line="560" w:lineRule="exact"/>
        <w:ind w:firstLine="420" w:firstLineChars="200"/>
        <w:rPr>
          <w:rFonts w:cs="宋体"/>
          <w:szCs w:val="21"/>
        </w:rPr>
      </w:pPr>
      <w:r>
        <w:rPr>
          <w:rFonts w:hint="eastAsia" w:cs="宋体"/>
          <w:szCs w:val="21"/>
        </w:rPr>
        <w:t>评审的依据为竞争性磋商文件和响应文件（含有效的补充文件）。磋商小组判断响应文件对竞争性磋商文件的响应，仅基于响应文件本身而不靠外部证据。</w:t>
      </w:r>
    </w:p>
    <w:p>
      <w:pPr>
        <w:pStyle w:val="4"/>
        <w:spacing w:before="0" w:after="0" w:line="560" w:lineRule="exact"/>
        <w:ind w:firstLine="562" w:firstLineChars="200"/>
        <w:rPr>
          <w:rFonts w:cs="宋体"/>
          <w:bCs w:val="0"/>
          <w:sz w:val="28"/>
          <w:szCs w:val="28"/>
        </w:rPr>
      </w:pPr>
      <w:bookmarkStart w:id="33" w:name="_Toc29543170"/>
      <w:r>
        <w:rPr>
          <w:rFonts w:hint="eastAsia" w:cs="宋体"/>
          <w:bCs w:val="0"/>
          <w:sz w:val="28"/>
          <w:szCs w:val="28"/>
        </w:rPr>
        <w:t>六、成交</w:t>
      </w:r>
      <w:bookmarkEnd w:id="31"/>
      <w:r>
        <w:rPr>
          <w:rFonts w:hint="eastAsia" w:cs="宋体"/>
          <w:bCs w:val="0"/>
          <w:sz w:val="28"/>
          <w:szCs w:val="28"/>
        </w:rPr>
        <w:t>原则</w:t>
      </w:r>
      <w:bookmarkEnd w:id="32"/>
      <w:bookmarkEnd w:id="33"/>
    </w:p>
    <w:p>
      <w:pPr>
        <w:spacing w:line="520" w:lineRule="exact"/>
        <w:ind w:firstLine="420" w:firstLineChars="200"/>
        <w:rPr>
          <w:rFonts w:cs="宋体"/>
          <w:szCs w:val="21"/>
        </w:rPr>
      </w:pPr>
      <w:r>
        <w:rPr>
          <w:rFonts w:hint="eastAsia" w:cs="宋体"/>
          <w:szCs w:val="21"/>
        </w:rPr>
        <w:t>磋商小组将依照本竞争性磋商文件相关规定对质量和服务均能满足竞争性磋商实质性响应要求的供应商进行评审。</w:t>
      </w:r>
    </w:p>
    <w:p>
      <w:pPr>
        <w:snapToGrid w:val="0"/>
        <w:spacing w:line="560" w:lineRule="exact"/>
        <w:ind w:firstLine="315" w:firstLineChars="150"/>
        <w:rPr>
          <w:rFonts w:cs="宋体"/>
          <w:szCs w:val="21"/>
        </w:rPr>
      </w:pPr>
      <w:r>
        <w:rPr>
          <w:rFonts w:hint="eastAsia" w:cs="宋体"/>
          <w:szCs w:val="21"/>
        </w:rPr>
        <w:t>（一）评审办法</w:t>
      </w:r>
    </w:p>
    <w:p>
      <w:pPr>
        <w:snapToGrid w:val="0"/>
        <w:spacing w:line="560" w:lineRule="exact"/>
        <w:ind w:firstLine="420" w:firstLineChars="15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1.采用综合评分法</w:t>
      </w:r>
      <w:r>
        <w:rPr>
          <w:rFonts w:ascii="方正仿宋_GBK" w:hAnsi="宋体" w:eastAsia="方正仿宋_GBK"/>
          <w:color w:val="000000" w:themeColor="text1"/>
          <w:sz w:val="28"/>
          <w:szCs w:val="28"/>
        </w:rPr>
        <w:t xml:space="preserve"> </w:t>
      </w:r>
    </w:p>
    <w:tbl>
      <w:tblPr>
        <w:tblStyle w:val="5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80"/>
        <w:gridCol w:w="1307"/>
        <w:gridCol w:w="4209"/>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Align w:val="center"/>
          </w:tcPr>
          <w:p>
            <w:pPr>
              <w:ind w:firstLine="420" w:firstLineChars="200"/>
              <w:jc w:val="center"/>
              <w:rPr>
                <w:rFonts w:ascii="宋体"/>
                <w:kern w:val="0"/>
                <w:szCs w:val="21"/>
              </w:rPr>
            </w:pPr>
            <w:r>
              <w:rPr>
                <w:rFonts w:hint="eastAsia" w:ascii="宋体"/>
                <w:kern w:val="0"/>
                <w:szCs w:val="21"/>
              </w:rPr>
              <w:t>序序号</w:t>
            </w:r>
          </w:p>
        </w:tc>
        <w:tc>
          <w:tcPr>
            <w:tcW w:w="664" w:type="pct"/>
            <w:vAlign w:val="center"/>
          </w:tcPr>
          <w:p>
            <w:pPr>
              <w:rPr>
                <w:rFonts w:ascii="宋体"/>
                <w:kern w:val="0"/>
                <w:szCs w:val="21"/>
              </w:rPr>
            </w:pPr>
            <w:r>
              <w:rPr>
                <w:rFonts w:hint="eastAsia" w:ascii="宋体"/>
                <w:kern w:val="0"/>
                <w:szCs w:val="21"/>
              </w:rPr>
              <w:t>评分因素</w:t>
            </w:r>
          </w:p>
          <w:p>
            <w:pPr>
              <w:rPr>
                <w:rFonts w:ascii="宋体"/>
                <w:kern w:val="0"/>
                <w:szCs w:val="21"/>
              </w:rPr>
            </w:pPr>
            <w:r>
              <w:rPr>
                <w:rFonts w:hint="eastAsia" w:ascii="宋体"/>
                <w:kern w:val="0"/>
                <w:szCs w:val="21"/>
              </w:rPr>
              <w:t>及权重</w:t>
            </w:r>
          </w:p>
        </w:tc>
        <w:tc>
          <w:tcPr>
            <w:tcW w:w="679" w:type="pct"/>
            <w:vAlign w:val="center"/>
          </w:tcPr>
          <w:p>
            <w:pPr>
              <w:rPr>
                <w:rFonts w:ascii="宋体"/>
                <w:kern w:val="0"/>
                <w:szCs w:val="21"/>
              </w:rPr>
            </w:pPr>
            <w:r>
              <w:rPr>
                <w:rFonts w:hint="eastAsia" w:ascii="宋体"/>
                <w:kern w:val="0"/>
                <w:szCs w:val="21"/>
              </w:rPr>
              <w:t>分值</w:t>
            </w:r>
          </w:p>
        </w:tc>
        <w:tc>
          <w:tcPr>
            <w:tcW w:w="2185" w:type="pct"/>
            <w:vAlign w:val="center"/>
          </w:tcPr>
          <w:p>
            <w:pPr>
              <w:ind w:firstLine="420" w:firstLineChars="200"/>
              <w:jc w:val="center"/>
              <w:rPr>
                <w:rFonts w:ascii="宋体"/>
                <w:kern w:val="0"/>
                <w:szCs w:val="21"/>
              </w:rPr>
            </w:pPr>
            <w:r>
              <w:rPr>
                <w:rFonts w:hint="eastAsia" w:ascii="宋体"/>
                <w:kern w:val="0"/>
                <w:szCs w:val="21"/>
              </w:rPr>
              <w:t>评分标准</w:t>
            </w:r>
          </w:p>
        </w:tc>
        <w:tc>
          <w:tcPr>
            <w:tcW w:w="1212" w:type="pct"/>
            <w:vAlign w:val="center"/>
          </w:tcPr>
          <w:p>
            <w:pPr>
              <w:ind w:firstLine="420" w:firstLineChars="200"/>
              <w:jc w:val="center"/>
              <w:rPr>
                <w:rFonts w:ascii="宋体"/>
                <w:kern w:val="0"/>
                <w:szCs w:val="21"/>
              </w:rPr>
            </w:pPr>
            <w:r>
              <w:rPr>
                <w:rFonts w:hint="eastAsia" w:ascii="宋体"/>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Align w:val="center"/>
          </w:tcPr>
          <w:p>
            <w:pPr>
              <w:ind w:firstLine="420" w:firstLineChars="200"/>
              <w:rPr>
                <w:rFonts w:ascii="宋体"/>
                <w:kern w:val="0"/>
                <w:szCs w:val="21"/>
              </w:rPr>
            </w:pPr>
            <w:r>
              <w:rPr>
                <w:rFonts w:hint="eastAsia" w:ascii="宋体"/>
                <w:kern w:val="0"/>
                <w:szCs w:val="21"/>
              </w:rPr>
              <w:t>1</w:t>
            </w:r>
          </w:p>
        </w:tc>
        <w:tc>
          <w:tcPr>
            <w:tcW w:w="664" w:type="pct"/>
            <w:vAlign w:val="center"/>
          </w:tcPr>
          <w:p>
            <w:pPr>
              <w:rPr>
                <w:rFonts w:ascii="宋体"/>
                <w:kern w:val="0"/>
                <w:szCs w:val="21"/>
              </w:rPr>
            </w:pPr>
            <w:r>
              <w:rPr>
                <w:rFonts w:hint="eastAsia" w:ascii="宋体"/>
                <w:kern w:val="0"/>
                <w:szCs w:val="21"/>
              </w:rPr>
              <w:t>投标报价</w:t>
            </w:r>
          </w:p>
          <w:p>
            <w:pPr>
              <w:rPr>
                <w:rFonts w:ascii="宋体"/>
                <w:kern w:val="0"/>
                <w:szCs w:val="21"/>
              </w:rPr>
            </w:pPr>
            <w:r>
              <w:rPr>
                <w:rFonts w:hint="eastAsia" w:ascii="宋体"/>
                <w:kern w:val="0"/>
                <w:szCs w:val="21"/>
              </w:rPr>
              <w:t>（40%）</w:t>
            </w:r>
          </w:p>
        </w:tc>
        <w:tc>
          <w:tcPr>
            <w:tcW w:w="679" w:type="pct"/>
            <w:vAlign w:val="center"/>
          </w:tcPr>
          <w:p>
            <w:pPr>
              <w:jc w:val="center"/>
              <w:rPr>
                <w:rFonts w:ascii="宋体"/>
                <w:kern w:val="0"/>
                <w:szCs w:val="21"/>
              </w:rPr>
            </w:pPr>
            <w:r>
              <w:rPr>
                <w:rFonts w:hint="eastAsia" w:ascii="宋体"/>
                <w:kern w:val="0"/>
                <w:szCs w:val="21"/>
              </w:rPr>
              <w:t>40</w:t>
            </w:r>
          </w:p>
        </w:tc>
        <w:tc>
          <w:tcPr>
            <w:tcW w:w="2185" w:type="pct"/>
            <w:vAlign w:val="center"/>
          </w:tcPr>
          <w:p>
            <w:pPr>
              <w:rPr>
                <w:rFonts w:ascii="宋体"/>
                <w:kern w:val="0"/>
                <w:szCs w:val="21"/>
              </w:rPr>
            </w:pPr>
            <w:r>
              <w:rPr>
                <w:rFonts w:hint="eastAsia" w:ascii="宋体"/>
                <w:kern w:val="0"/>
                <w:szCs w:val="21"/>
              </w:rPr>
              <w:t>有效的投标报价中的最低价为评标基准价，按照下列公式计算每个投标人的投标价格得分。</w:t>
            </w:r>
          </w:p>
          <w:p>
            <w:pPr>
              <w:rPr>
                <w:rFonts w:ascii="宋体"/>
                <w:kern w:val="0"/>
                <w:szCs w:val="21"/>
                <w:highlight w:val="yellow"/>
              </w:rPr>
            </w:pPr>
            <w:r>
              <w:rPr>
                <w:rFonts w:hint="eastAsia" w:ascii="宋体"/>
                <w:kern w:val="0"/>
                <w:szCs w:val="21"/>
              </w:rPr>
              <w:t>投标报价得分＝（评标基准价/投标报价）×价格权重×100。</w:t>
            </w:r>
          </w:p>
        </w:tc>
        <w:tc>
          <w:tcPr>
            <w:tcW w:w="1212" w:type="pct"/>
            <w:vAlign w:val="center"/>
          </w:tcPr>
          <w:p>
            <w:pPr>
              <w:ind w:firstLine="420" w:firstLineChars="200"/>
              <w:rPr>
                <w:rFonts w:ascii="仿宋" w:hAnsi="仿宋" w:eastAsia="仿宋"/>
                <w:szCs w:val="21"/>
              </w:rPr>
            </w:pPr>
            <w:r>
              <w:rPr>
                <w:rFonts w:hint="eastAsia" w:ascii="仿宋" w:hAnsi="仿宋" w:eastAsia="仿宋"/>
                <w:szCs w:val="21"/>
              </w:rPr>
              <w:t>投标文件中报价为第一次报价，开标时进行公开唱标</w:t>
            </w:r>
            <w:r>
              <w:rPr>
                <w:rFonts w:hint="eastAsia" w:ascii="仿宋" w:hAnsi="仿宋" w:eastAsia="仿宋"/>
                <w:szCs w:val="21"/>
                <w:lang w:eastAsia="zh-CN"/>
              </w:rPr>
              <w:t>。合格</w:t>
            </w:r>
            <w:r>
              <w:rPr>
                <w:rFonts w:hint="eastAsia" w:ascii="仿宋" w:hAnsi="仿宋" w:eastAsia="仿宋"/>
                <w:szCs w:val="21"/>
              </w:rPr>
              <w:t>投标供应商第二次报价为最终报价，最低价为评标基准价。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8" w:type="pct"/>
            <w:vMerge w:val="restart"/>
            <w:vAlign w:val="center"/>
          </w:tcPr>
          <w:p>
            <w:pPr>
              <w:ind w:firstLine="480" w:firstLineChars="200"/>
              <w:rPr>
                <w:rFonts w:ascii="宋体"/>
                <w:color w:val="FF0000"/>
                <w:kern w:val="0"/>
                <w:sz w:val="24"/>
              </w:rPr>
            </w:pPr>
          </w:p>
        </w:tc>
        <w:tc>
          <w:tcPr>
            <w:tcW w:w="664" w:type="pct"/>
            <w:vMerge w:val="restart"/>
            <w:vAlign w:val="center"/>
          </w:tcPr>
          <w:p>
            <w:pPr>
              <w:jc w:val="center"/>
              <w:rPr>
                <w:rFonts w:ascii="宋体"/>
                <w:color w:val="FF0000"/>
                <w:kern w:val="0"/>
                <w:sz w:val="24"/>
              </w:rPr>
            </w:pPr>
            <w:r>
              <w:rPr>
                <w:rFonts w:hint="eastAsia" w:ascii="宋体"/>
                <w:kern w:val="0"/>
                <w:szCs w:val="21"/>
              </w:rPr>
              <w:t>技术部分（30%）</w:t>
            </w:r>
          </w:p>
        </w:tc>
        <w:tc>
          <w:tcPr>
            <w:tcW w:w="679" w:type="pct"/>
            <w:vAlign w:val="center"/>
          </w:tcPr>
          <w:p>
            <w:pPr>
              <w:ind w:firstLine="174" w:firstLineChars="83"/>
              <w:jc w:val="center"/>
              <w:rPr>
                <w:rFonts w:ascii="宋体"/>
                <w:color w:val="FF0000"/>
                <w:kern w:val="0"/>
                <w:sz w:val="24"/>
              </w:rPr>
            </w:pPr>
            <w:r>
              <w:rPr>
                <w:rFonts w:hint="eastAsia" w:ascii="宋体"/>
                <w:kern w:val="0"/>
                <w:szCs w:val="21"/>
              </w:rPr>
              <w:t>16</w:t>
            </w:r>
          </w:p>
        </w:tc>
        <w:tc>
          <w:tcPr>
            <w:tcW w:w="2185" w:type="pct"/>
            <w:vAlign w:val="center"/>
          </w:tcPr>
          <w:p>
            <w:pPr>
              <w:spacing w:line="260" w:lineRule="exact"/>
              <w:ind w:firstLine="210" w:firstLineChars="100"/>
              <w:rPr>
                <w:rFonts w:ascii="宋体"/>
                <w:kern w:val="0"/>
                <w:szCs w:val="21"/>
              </w:rPr>
            </w:pPr>
            <w:r>
              <w:rPr>
                <w:rFonts w:hint="eastAsia" w:ascii="宋体"/>
                <w:kern w:val="0"/>
                <w:szCs w:val="21"/>
              </w:rPr>
              <w:t>投标产品技术参数须满足招标文件技术需求带“★”的每项得1分，满分16分</w:t>
            </w:r>
          </w:p>
        </w:tc>
        <w:tc>
          <w:tcPr>
            <w:tcW w:w="1212" w:type="pct"/>
            <w:vAlign w:val="center"/>
          </w:tcPr>
          <w:p>
            <w:pPr>
              <w:ind w:firstLine="10" w:firstLineChars="5"/>
              <w:rPr>
                <w:rFonts w:ascii="宋体"/>
                <w:kern w:val="0"/>
                <w:szCs w:val="21"/>
              </w:rPr>
            </w:pPr>
            <w:r>
              <w:rPr>
                <w:rFonts w:ascii="仿宋" w:hAnsi="仿宋" w:eastAsia="仿宋"/>
                <w:szCs w:val="21"/>
              </w:rPr>
              <w:t>提供证明材料</w:t>
            </w:r>
            <w:r>
              <w:rPr>
                <w:rFonts w:hint="eastAsia" w:ascii="仿宋" w:hAnsi="仿宋" w:eastAsia="仿宋"/>
                <w:szCs w:val="21"/>
              </w:rPr>
              <w:t>：投标人需提供拟投入本项目使用的设备生产企业的产品检验合格证书、环保认证。提供投标产品技术参数的设备企业授权文件（内容含：投标项目名称、授权单位、产品</w:t>
            </w:r>
            <w:r>
              <w:rPr>
                <w:rFonts w:hint="eastAsia" w:ascii="仿宋" w:hAnsi="仿宋" w:eastAsia="仿宋"/>
                <w:szCs w:val="21"/>
                <w:lang w:eastAsia="zh-CN"/>
              </w:rPr>
              <w:t>型号规格</w:t>
            </w:r>
            <w:r>
              <w:rPr>
                <w:rFonts w:hint="eastAsia" w:ascii="仿宋" w:hAnsi="仿宋" w:eastAsia="仿宋"/>
                <w:szCs w:val="21"/>
              </w:rPr>
              <w:t>）</w:t>
            </w:r>
            <w:r>
              <w:rPr>
                <w:rFonts w:hint="eastAsia" w:ascii="仿宋" w:hAnsi="仿宋" w:eastAsia="仿宋"/>
                <w:szCs w:val="21"/>
                <w:lang w:eastAsia="zh-CN"/>
              </w:rPr>
              <w:t>，并提供其正式样本资料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58" w:type="pct"/>
            <w:vMerge w:val="continue"/>
            <w:vAlign w:val="center"/>
          </w:tcPr>
          <w:p>
            <w:pPr>
              <w:ind w:firstLine="480" w:firstLineChars="200"/>
              <w:rPr>
                <w:rFonts w:ascii="宋体"/>
                <w:color w:val="FF0000"/>
                <w:kern w:val="0"/>
                <w:sz w:val="24"/>
              </w:rPr>
            </w:pPr>
          </w:p>
        </w:tc>
        <w:tc>
          <w:tcPr>
            <w:tcW w:w="664" w:type="pct"/>
            <w:vMerge w:val="continue"/>
            <w:vAlign w:val="center"/>
          </w:tcPr>
          <w:p>
            <w:pPr>
              <w:ind w:firstLine="480" w:firstLineChars="200"/>
              <w:rPr>
                <w:rFonts w:ascii="宋体"/>
                <w:color w:val="FF0000"/>
                <w:kern w:val="0"/>
                <w:sz w:val="24"/>
              </w:rPr>
            </w:pPr>
          </w:p>
        </w:tc>
        <w:tc>
          <w:tcPr>
            <w:tcW w:w="679" w:type="pct"/>
            <w:vAlign w:val="center"/>
          </w:tcPr>
          <w:p>
            <w:pPr>
              <w:ind w:firstLine="199" w:firstLineChars="83"/>
              <w:jc w:val="center"/>
              <w:rPr>
                <w:rFonts w:ascii="宋体"/>
                <w:color w:val="FF0000"/>
                <w:kern w:val="0"/>
                <w:sz w:val="24"/>
              </w:rPr>
            </w:pPr>
            <w:r>
              <w:rPr>
                <w:rFonts w:hint="eastAsia" w:ascii="宋体"/>
                <w:color w:val="FF0000"/>
                <w:kern w:val="0"/>
                <w:sz w:val="24"/>
              </w:rPr>
              <w:t>8</w:t>
            </w:r>
          </w:p>
        </w:tc>
        <w:tc>
          <w:tcPr>
            <w:tcW w:w="2185" w:type="pct"/>
            <w:vAlign w:val="center"/>
          </w:tcPr>
          <w:p>
            <w:pPr>
              <w:ind w:firstLine="210" w:firstLineChars="100"/>
              <w:rPr>
                <w:rFonts w:ascii="宋体"/>
                <w:kern w:val="0"/>
                <w:szCs w:val="21"/>
              </w:rPr>
            </w:pPr>
            <w:r>
              <w:rPr>
                <w:rFonts w:ascii="宋体"/>
                <w:kern w:val="0"/>
                <w:szCs w:val="21"/>
              </w:rPr>
              <w:t>2</w:t>
            </w:r>
            <w:r>
              <w:rPr>
                <w:rFonts w:hint="eastAsia" w:ascii="宋体"/>
                <w:kern w:val="0"/>
                <w:szCs w:val="21"/>
              </w:rPr>
              <w:t>.运行维护管理相关制度详细、健全、合理、有效（岗位考核、现场巡查、应急安全等）。（8分）</w:t>
            </w:r>
          </w:p>
          <w:p>
            <w:pPr>
              <w:ind w:firstLine="210" w:firstLineChars="100"/>
              <w:rPr>
                <w:rFonts w:ascii="宋体"/>
                <w:kern w:val="0"/>
                <w:szCs w:val="21"/>
              </w:rPr>
            </w:pPr>
            <w:r>
              <w:rPr>
                <w:rFonts w:ascii="宋体"/>
                <w:kern w:val="0"/>
                <w:szCs w:val="21"/>
              </w:rPr>
              <w:t>（</w:t>
            </w:r>
            <w:r>
              <w:rPr>
                <w:rFonts w:hint="eastAsia" w:ascii="宋体"/>
                <w:kern w:val="0"/>
                <w:szCs w:val="21"/>
              </w:rPr>
              <w:t>1）方案完整详细、科学、合理，适用性、针对性程度高，完全满足采购人实际需求的得8分；</w:t>
            </w:r>
          </w:p>
          <w:p>
            <w:pPr>
              <w:spacing w:after="120"/>
              <w:ind w:firstLine="210" w:firstLineChars="100"/>
              <w:rPr>
                <w:rFonts w:ascii="宋体"/>
                <w:kern w:val="0"/>
                <w:szCs w:val="21"/>
              </w:rPr>
            </w:pPr>
            <w:r>
              <w:rPr>
                <w:rFonts w:hint="eastAsia" w:ascii="宋体"/>
                <w:kern w:val="0"/>
                <w:szCs w:val="21"/>
              </w:rPr>
              <w:t>（2）方案较完整详细、较合理，满足采购人需求的得6分；</w:t>
            </w:r>
          </w:p>
          <w:p>
            <w:pPr>
              <w:spacing w:after="120"/>
              <w:ind w:firstLine="210" w:firstLineChars="100"/>
              <w:rPr>
                <w:rFonts w:ascii="宋体"/>
                <w:kern w:val="0"/>
                <w:szCs w:val="21"/>
              </w:rPr>
            </w:pPr>
            <w:r>
              <w:rPr>
                <w:rFonts w:hint="eastAsia" w:ascii="宋体"/>
                <w:kern w:val="0"/>
                <w:szCs w:val="21"/>
              </w:rPr>
              <w:t>（3）方案一般详细或基本满足采购人需求的得2分；</w:t>
            </w:r>
          </w:p>
          <w:p>
            <w:pPr>
              <w:ind w:firstLine="210" w:firstLineChars="100"/>
              <w:rPr>
                <w:rFonts w:ascii="宋体"/>
                <w:kern w:val="0"/>
                <w:szCs w:val="21"/>
              </w:rPr>
            </w:pPr>
            <w:r>
              <w:rPr>
                <w:rFonts w:hint="eastAsia" w:ascii="宋体"/>
                <w:kern w:val="0"/>
                <w:szCs w:val="21"/>
              </w:rPr>
              <w:t>（4）未提供方案或不满足采购人需求的得0分</w:t>
            </w:r>
          </w:p>
        </w:tc>
        <w:tc>
          <w:tcPr>
            <w:tcW w:w="1212" w:type="pct"/>
            <w:vAlign w:val="center"/>
          </w:tcPr>
          <w:p>
            <w:pPr>
              <w:ind w:firstLine="10" w:firstLineChars="5"/>
              <w:rPr>
                <w:rFonts w:ascii="宋体"/>
                <w:kern w:val="0"/>
                <w:szCs w:val="21"/>
              </w:rPr>
            </w:pPr>
            <w:r>
              <w:rPr>
                <w:rFonts w:hint="eastAsia" w:ascii="仿宋" w:hAnsi="仿宋" w:eastAsia="仿宋"/>
                <w:szCs w:val="21"/>
              </w:rPr>
              <w:t>投标人通过对招标需求的理解和把握，以及对服务区域的熟悉程度，对人员定岗、设备维护、作业方式、作业频次、作业程序等有针对性的提出实施方案，方案要具有系统、完整、可操作性。评标小组对比投标人的实施方案进行综合横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258" w:type="pct"/>
            <w:vMerge w:val="continue"/>
            <w:vAlign w:val="center"/>
          </w:tcPr>
          <w:p>
            <w:pPr>
              <w:ind w:firstLine="480" w:firstLineChars="200"/>
              <w:rPr>
                <w:rFonts w:ascii="宋体"/>
                <w:color w:val="FF0000"/>
                <w:kern w:val="0"/>
                <w:sz w:val="24"/>
              </w:rPr>
            </w:pPr>
          </w:p>
        </w:tc>
        <w:tc>
          <w:tcPr>
            <w:tcW w:w="664" w:type="pct"/>
            <w:vMerge w:val="continue"/>
            <w:vAlign w:val="center"/>
          </w:tcPr>
          <w:p>
            <w:pPr>
              <w:ind w:firstLine="480" w:firstLineChars="200"/>
              <w:rPr>
                <w:rFonts w:ascii="宋体"/>
                <w:color w:val="FF0000"/>
                <w:kern w:val="0"/>
                <w:sz w:val="24"/>
              </w:rPr>
            </w:pPr>
          </w:p>
        </w:tc>
        <w:tc>
          <w:tcPr>
            <w:tcW w:w="679" w:type="pct"/>
            <w:vAlign w:val="center"/>
          </w:tcPr>
          <w:p>
            <w:pPr>
              <w:ind w:firstLine="199" w:firstLineChars="83"/>
              <w:jc w:val="center"/>
              <w:rPr>
                <w:rFonts w:ascii="宋体"/>
                <w:color w:val="FF0000"/>
                <w:kern w:val="0"/>
                <w:sz w:val="24"/>
              </w:rPr>
            </w:pPr>
            <w:r>
              <w:rPr>
                <w:rFonts w:ascii="宋体"/>
                <w:color w:val="FF0000"/>
                <w:kern w:val="0"/>
                <w:sz w:val="24"/>
              </w:rPr>
              <w:t>6</w:t>
            </w:r>
          </w:p>
        </w:tc>
        <w:tc>
          <w:tcPr>
            <w:tcW w:w="2185" w:type="pct"/>
            <w:vAlign w:val="center"/>
          </w:tcPr>
          <w:p>
            <w:pPr>
              <w:spacing w:line="360" w:lineRule="auto"/>
              <w:ind w:firstLine="210" w:firstLineChars="100"/>
              <w:rPr>
                <w:rFonts w:ascii="宋体"/>
                <w:kern w:val="0"/>
                <w:szCs w:val="21"/>
              </w:rPr>
            </w:pPr>
            <w:r>
              <w:rPr>
                <w:rFonts w:hint="eastAsia" w:ascii="宋体"/>
                <w:kern w:val="0"/>
                <w:szCs w:val="21"/>
              </w:rPr>
              <w:t>投标人须根据招标要求提供本次采购的系统升级项目拟定施工方案，施工方案的科学性、合理性、可行性（项目实施方案、人力保证措施、安全质量保证措施等）施工进度计划安排科学合理可行,运行维护组织体系、风险防控措施、运行维护废液处置、应急方案及相关制度。</w:t>
            </w:r>
          </w:p>
          <w:p>
            <w:pPr>
              <w:spacing w:line="360" w:lineRule="auto"/>
              <w:ind w:firstLine="210" w:firstLineChars="100"/>
              <w:rPr>
                <w:rFonts w:ascii="宋体"/>
                <w:kern w:val="0"/>
                <w:szCs w:val="21"/>
              </w:rPr>
            </w:pPr>
            <w:r>
              <w:rPr>
                <w:rFonts w:hint="eastAsia" w:ascii="宋体"/>
                <w:kern w:val="0"/>
                <w:szCs w:val="21"/>
              </w:rPr>
              <w:t>1.方案描述完整清晰、科学合理，程序与方法效率高，较好的满足项目需求，得</w:t>
            </w:r>
            <w:r>
              <w:rPr>
                <w:rFonts w:ascii="宋体"/>
                <w:kern w:val="0"/>
                <w:szCs w:val="21"/>
              </w:rPr>
              <w:t>6</w:t>
            </w:r>
            <w:r>
              <w:rPr>
                <w:rFonts w:hint="eastAsia" w:ascii="宋体"/>
                <w:kern w:val="0"/>
                <w:szCs w:val="21"/>
              </w:rPr>
              <w:t>分；</w:t>
            </w:r>
          </w:p>
          <w:p>
            <w:pPr>
              <w:spacing w:line="360" w:lineRule="auto"/>
              <w:ind w:firstLine="210" w:firstLineChars="100"/>
              <w:rPr>
                <w:rFonts w:ascii="宋体"/>
                <w:kern w:val="0"/>
                <w:szCs w:val="21"/>
              </w:rPr>
            </w:pPr>
            <w:r>
              <w:rPr>
                <w:rFonts w:hint="eastAsia" w:ascii="宋体"/>
                <w:kern w:val="0"/>
                <w:szCs w:val="21"/>
              </w:rPr>
              <w:t>2.方案基本可行，基本满足项目需求，得</w:t>
            </w:r>
            <w:r>
              <w:rPr>
                <w:rFonts w:ascii="宋体"/>
                <w:kern w:val="0"/>
                <w:szCs w:val="21"/>
              </w:rPr>
              <w:t>4</w:t>
            </w:r>
            <w:r>
              <w:rPr>
                <w:rFonts w:hint="eastAsia" w:ascii="宋体"/>
                <w:kern w:val="0"/>
                <w:szCs w:val="21"/>
              </w:rPr>
              <w:t>分；</w:t>
            </w:r>
          </w:p>
          <w:p>
            <w:pPr>
              <w:spacing w:line="360" w:lineRule="auto"/>
              <w:ind w:firstLine="210" w:firstLineChars="100"/>
              <w:rPr>
                <w:rFonts w:ascii="宋体"/>
                <w:kern w:val="0"/>
                <w:szCs w:val="21"/>
              </w:rPr>
            </w:pPr>
            <w:r>
              <w:rPr>
                <w:rFonts w:hint="eastAsia" w:ascii="宋体"/>
                <w:kern w:val="0"/>
                <w:szCs w:val="21"/>
              </w:rPr>
              <w:t>3.方案一般但不被评定为不响应的，得</w:t>
            </w:r>
            <w:r>
              <w:rPr>
                <w:rFonts w:ascii="宋体"/>
                <w:kern w:val="0"/>
                <w:szCs w:val="21"/>
              </w:rPr>
              <w:t>2</w:t>
            </w:r>
            <w:r>
              <w:rPr>
                <w:rFonts w:hint="eastAsia" w:ascii="宋体"/>
                <w:kern w:val="0"/>
                <w:szCs w:val="21"/>
              </w:rPr>
              <w:t>分；</w:t>
            </w:r>
          </w:p>
          <w:p>
            <w:pPr>
              <w:spacing w:line="360" w:lineRule="auto"/>
              <w:ind w:firstLine="210" w:firstLineChars="100"/>
              <w:rPr>
                <w:rFonts w:ascii="宋体" w:hAnsi="宋体" w:cs="宋体"/>
                <w:sz w:val="24"/>
              </w:rPr>
            </w:pPr>
            <w:r>
              <w:rPr>
                <w:rFonts w:hint="eastAsia" w:ascii="宋体"/>
                <w:kern w:val="0"/>
                <w:szCs w:val="21"/>
              </w:rPr>
              <w:t>4.不提供，不得分。</w:t>
            </w:r>
          </w:p>
        </w:tc>
        <w:tc>
          <w:tcPr>
            <w:tcW w:w="1212" w:type="pct"/>
            <w:vAlign w:val="center"/>
          </w:tcPr>
          <w:p>
            <w:pPr>
              <w:ind w:firstLine="10" w:firstLineChars="5"/>
              <w:rPr>
                <w:rFonts w:ascii="宋体"/>
                <w:kern w:val="0"/>
                <w:szCs w:val="21"/>
              </w:rPr>
            </w:pPr>
            <w:r>
              <w:rPr>
                <w:rFonts w:hint="eastAsia" w:ascii="仿宋" w:hAnsi="仿宋" w:eastAsia="仿宋"/>
                <w:szCs w:val="21"/>
              </w:rPr>
              <w:t>投标人通过对招标需求的理解和把握，以及对服务区域的熟悉程度，对人员定岗、设备维护、作业方式、作业频次、作业程序等有针对性的提出实施方案，方案要具有系统、完整、可操作性。评标小组对比投标人的实施方案进行综合横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Merge w:val="restart"/>
            <w:vAlign w:val="center"/>
          </w:tcPr>
          <w:p>
            <w:pPr>
              <w:ind w:firstLine="480" w:firstLineChars="200"/>
              <w:rPr>
                <w:rFonts w:ascii="宋体"/>
                <w:kern w:val="0"/>
                <w:sz w:val="24"/>
              </w:rPr>
            </w:pPr>
            <w:r>
              <w:rPr>
                <w:rFonts w:hint="eastAsia" w:ascii="宋体"/>
                <w:kern w:val="0"/>
                <w:sz w:val="24"/>
              </w:rPr>
              <w:t>3</w:t>
            </w:r>
          </w:p>
        </w:tc>
        <w:tc>
          <w:tcPr>
            <w:tcW w:w="664" w:type="pct"/>
            <w:vMerge w:val="restart"/>
            <w:vAlign w:val="center"/>
          </w:tcPr>
          <w:p>
            <w:pPr>
              <w:rPr>
                <w:rFonts w:ascii="宋体"/>
                <w:kern w:val="0"/>
                <w:sz w:val="24"/>
              </w:rPr>
            </w:pPr>
            <w:r>
              <w:rPr>
                <w:rFonts w:hint="eastAsia" w:ascii="宋体"/>
                <w:kern w:val="0"/>
                <w:sz w:val="24"/>
              </w:rPr>
              <w:t>商务部分</w:t>
            </w:r>
          </w:p>
          <w:p>
            <w:pPr>
              <w:rPr>
                <w:rFonts w:ascii="宋体"/>
                <w:kern w:val="0"/>
                <w:sz w:val="24"/>
              </w:rPr>
            </w:pPr>
            <w:r>
              <w:rPr>
                <w:rFonts w:hint="eastAsia" w:ascii="宋体"/>
                <w:kern w:val="0"/>
                <w:sz w:val="24"/>
              </w:rPr>
              <w:t>（30%）</w:t>
            </w:r>
          </w:p>
        </w:tc>
        <w:tc>
          <w:tcPr>
            <w:tcW w:w="679" w:type="pct"/>
            <w:vAlign w:val="center"/>
          </w:tcPr>
          <w:p>
            <w:pPr>
              <w:jc w:val="center"/>
              <w:rPr>
                <w:rFonts w:ascii="宋体"/>
                <w:kern w:val="0"/>
                <w:szCs w:val="21"/>
              </w:rPr>
            </w:pPr>
            <w:r>
              <w:rPr>
                <w:rFonts w:ascii="宋体"/>
                <w:kern w:val="0"/>
                <w:szCs w:val="21"/>
              </w:rPr>
              <w:t>6</w:t>
            </w:r>
          </w:p>
        </w:tc>
        <w:tc>
          <w:tcPr>
            <w:tcW w:w="2185" w:type="pct"/>
            <w:vAlign w:val="center"/>
          </w:tcPr>
          <w:p>
            <w:pPr>
              <w:spacing w:line="360" w:lineRule="auto"/>
              <w:rPr>
                <w:rFonts w:ascii="宋体"/>
                <w:kern w:val="0"/>
                <w:szCs w:val="21"/>
              </w:rPr>
            </w:pPr>
            <w:r>
              <w:rPr>
                <w:rFonts w:hint="eastAsia" w:ascii="宋体" w:hAnsi="宋体" w:cs="宋体"/>
                <w:szCs w:val="21"/>
              </w:rPr>
              <w:t>近两年来（2019年1月1日起）投标人完成在线监测设备供货项目业绩（合同清单须包含水质COD、氨氮等有关设备），须提供该业绩合同复印件</w:t>
            </w:r>
            <w:r>
              <w:rPr>
                <w:rFonts w:hint="eastAsia" w:ascii="宋体" w:hAnsi="宋体" w:cs="宋体"/>
                <w:szCs w:val="21"/>
                <w:lang w:eastAsia="zh-Hans"/>
              </w:rPr>
              <w:t>和发票复印件</w:t>
            </w:r>
            <w:r>
              <w:rPr>
                <w:rFonts w:hint="eastAsia" w:ascii="宋体" w:hAnsi="宋体" w:cs="宋体"/>
                <w:szCs w:val="21"/>
              </w:rPr>
              <w:t>，每提供1个业绩得2分，未提供该业绩合同复印件的不得分，业绩满分</w:t>
            </w:r>
            <w:r>
              <w:rPr>
                <w:rFonts w:ascii="宋体" w:hAnsi="宋体" w:cs="宋体"/>
                <w:szCs w:val="21"/>
              </w:rPr>
              <w:t>6</w:t>
            </w:r>
            <w:r>
              <w:rPr>
                <w:rFonts w:hint="eastAsia" w:ascii="宋体" w:hAnsi="宋体" w:cs="宋体"/>
                <w:szCs w:val="21"/>
              </w:rPr>
              <w:t>分。</w:t>
            </w:r>
          </w:p>
        </w:tc>
        <w:tc>
          <w:tcPr>
            <w:tcW w:w="1212" w:type="pct"/>
            <w:vAlign w:val="center"/>
          </w:tcPr>
          <w:p>
            <w:pPr>
              <w:ind w:firstLine="10" w:firstLineChars="5"/>
              <w:rPr>
                <w:rFonts w:ascii="仿宋" w:hAnsi="仿宋" w:eastAsia="仿宋"/>
                <w:szCs w:val="21"/>
              </w:rPr>
            </w:pPr>
            <w:r>
              <w:rPr>
                <w:rFonts w:hint="eastAsia" w:ascii="宋体"/>
                <w:kern w:val="0"/>
                <w:szCs w:val="21"/>
              </w:rPr>
              <w:t>1</w:t>
            </w:r>
            <w:r>
              <w:rPr>
                <w:rFonts w:hint="eastAsia" w:ascii="仿宋" w:hAnsi="仿宋" w:eastAsia="仿宋"/>
                <w:szCs w:val="21"/>
              </w:rPr>
              <w:t>.提供合同复印件和。</w:t>
            </w:r>
          </w:p>
          <w:p>
            <w:pPr>
              <w:ind w:firstLine="10" w:firstLineChars="5"/>
              <w:rPr>
                <w:rFonts w:ascii="宋体"/>
                <w:kern w:val="0"/>
                <w:szCs w:val="21"/>
              </w:rPr>
            </w:pPr>
            <w:r>
              <w:rPr>
                <w:rFonts w:hint="eastAsia" w:ascii="仿宋" w:hAnsi="仿宋" w:eastAsia="仿宋"/>
                <w:szCs w:val="21"/>
              </w:rPr>
              <w:t>加盖</w:t>
            </w:r>
            <w:r>
              <w:rPr>
                <w:rFonts w:ascii="仿宋" w:hAnsi="仿宋" w:eastAsia="仿宋"/>
                <w:szCs w:val="21"/>
              </w:rPr>
              <w:t>投标人</w:t>
            </w:r>
            <w:r>
              <w:rPr>
                <w:rFonts w:hint="eastAsia" w:ascii="仿宋" w:hAnsi="仿宋" w:eastAsia="仿宋"/>
                <w:szCs w:val="21"/>
              </w:rPr>
              <w:t>鲜章。原件备查，未提供或核查原件时无原件的，不计分</w:t>
            </w:r>
            <w:r>
              <w:rPr>
                <w:rFonts w:hint="eastAsia" w:asci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58" w:type="pct"/>
            <w:vMerge w:val="continue"/>
            <w:vAlign w:val="center"/>
          </w:tcPr>
          <w:p>
            <w:pPr>
              <w:ind w:firstLine="480" w:firstLineChars="200"/>
              <w:rPr>
                <w:rFonts w:ascii="宋体"/>
                <w:kern w:val="0"/>
                <w:sz w:val="24"/>
              </w:rPr>
            </w:pPr>
          </w:p>
        </w:tc>
        <w:tc>
          <w:tcPr>
            <w:tcW w:w="664" w:type="pct"/>
            <w:vMerge w:val="continue"/>
            <w:vAlign w:val="center"/>
          </w:tcPr>
          <w:p>
            <w:pPr>
              <w:ind w:firstLine="480" w:firstLineChars="200"/>
              <w:rPr>
                <w:rFonts w:ascii="宋体"/>
                <w:kern w:val="0"/>
                <w:sz w:val="24"/>
              </w:rPr>
            </w:pPr>
          </w:p>
        </w:tc>
        <w:tc>
          <w:tcPr>
            <w:tcW w:w="679" w:type="pct"/>
            <w:vAlign w:val="center"/>
          </w:tcPr>
          <w:p>
            <w:pPr>
              <w:jc w:val="center"/>
              <w:rPr>
                <w:rFonts w:ascii="宋体"/>
                <w:kern w:val="0"/>
                <w:szCs w:val="21"/>
              </w:rPr>
            </w:pPr>
            <w:r>
              <w:rPr>
                <w:rFonts w:ascii="宋体"/>
                <w:kern w:val="0"/>
                <w:szCs w:val="21"/>
              </w:rPr>
              <w:t>6</w:t>
            </w:r>
          </w:p>
        </w:tc>
        <w:tc>
          <w:tcPr>
            <w:tcW w:w="2185" w:type="pct"/>
            <w:vAlign w:val="center"/>
          </w:tcPr>
          <w:p>
            <w:pPr>
              <w:spacing w:line="360" w:lineRule="auto"/>
              <w:rPr>
                <w:rFonts w:ascii="宋体"/>
                <w:kern w:val="0"/>
                <w:szCs w:val="21"/>
              </w:rPr>
            </w:pPr>
            <w:r>
              <w:rPr>
                <w:rFonts w:hint="eastAsia" w:ascii="宋体"/>
                <w:kern w:val="0"/>
                <w:szCs w:val="21"/>
              </w:rPr>
              <w:t>1.投标人具有有效的ISO9001质量管理体系认证证书的得</w:t>
            </w:r>
            <w:r>
              <w:rPr>
                <w:rFonts w:ascii="宋体"/>
                <w:kern w:val="0"/>
                <w:szCs w:val="21"/>
              </w:rPr>
              <w:t>2</w:t>
            </w:r>
            <w:r>
              <w:rPr>
                <w:rFonts w:hint="eastAsia" w:ascii="宋体"/>
                <w:kern w:val="0"/>
                <w:szCs w:val="21"/>
              </w:rPr>
              <w:t>分，未提供不得分；</w:t>
            </w:r>
          </w:p>
          <w:p>
            <w:pPr>
              <w:spacing w:line="360" w:lineRule="auto"/>
              <w:rPr>
                <w:rFonts w:ascii="宋体"/>
                <w:kern w:val="0"/>
                <w:szCs w:val="21"/>
              </w:rPr>
            </w:pPr>
            <w:r>
              <w:rPr>
                <w:rFonts w:hint="eastAsia" w:ascii="宋体"/>
                <w:kern w:val="0"/>
                <w:szCs w:val="21"/>
              </w:rPr>
              <w:t>2.投标人具有有效的ISO14001环境管理体系认证证书的得</w:t>
            </w:r>
            <w:r>
              <w:rPr>
                <w:rFonts w:ascii="宋体"/>
                <w:kern w:val="0"/>
                <w:szCs w:val="21"/>
              </w:rPr>
              <w:t>2</w:t>
            </w:r>
            <w:r>
              <w:rPr>
                <w:rFonts w:hint="eastAsia" w:ascii="宋体"/>
                <w:kern w:val="0"/>
                <w:szCs w:val="21"/>
              </w:rPr>
              <w:t>分，未提供不得分；</w:t>
            </w:r>
          </w:p>
          <w:p>
            <w:pPr>
              <w:spacing w:line="360" w:lineRule="auto"/>
              <w:rPr>
                <w:rFonts w:ascii="宋体"/>
                <w:kern w:val="0"/>
                <w:szCs w:val="21"/>
              </w:rPr>
            </w:pPr>
            <w:r>
              <w:rPr>
                <w:rFonts w:hint="eastAsia" w:ascii="宋体"/>
                <w:kern w:val="0"/>
                <w:szCs w:val="21"/>
              </w:rPr>
              <w:t>3.投标人具有有效的ISO 45001职业健康安全管理体系认证证书的得</w:t>
            </w:r>
            <w:r>
              <w:rPr>
                <w:rFonts w:ascii="宋体"/>
                <w:kern w:val="0"/>
                <w:szCs w:val="21"/>
              </w:rPr>
              <w:t>2</w:t>
            </w:r>
            <w:r>
              <w:rPr>
                <w:rFonts w:hint="eastAsia" w:ascii="宋体"/>
                <w:kern w:val="0"/>
                <w:szCs w:val="21"/>
              </w:rPr>
              <w:t>分，未提供不得分；</w:t>
            </w:r>
          </w:p>
        </w:tc>
        <w:tc>
          <w:tcPr>
            <w:tcW w:w="1212" w:type="pct"/>
            <w:vAlign w:val="center"/>
          </w:tcPr>
          <w:p>
            <w:pPr>
              <w:ind w:firstLine="10" w:firstLineChars="5"/>
              <w:rPr>
                <w:rFonts w:ascii="宋体"/>
                <w:kern w:val="0"/>
                <w:szCs w:val="21"/>
              </w:rPr>
            </w:pPr>
            <w:r>
              <w:rPr>
                <w:rFonts w:hint="eastAsia" w:ascii="仿宋" w:hAnsi="仿宋" w:eastAsia="仿宋"/>
                <w:szCs w:val="21"/>
              </w:rPr>
              <w:t>提供证书复印件。加盖</w:t>
            </w:r>
            <w:r>
              <w:rPr>
                <w:rFonts w:ascii="仿宋" w:hAnsi="仿宋" w:eastAsia="仿宋"/>
                <w:szCs w:val="21"/>
              </w:rPr>
              <w:t>投标人</w:t>
            </w:r>
            <w:r>
              <w:rPr>
                <w:rFonts w:hint="eastAsia" w:ascii="仿宋" w:hAnsi="仿宋" w:eastAsia="仿宋"/>
                <w:szCs w:val="21"/>
              </w:rPr>
              <w:t>鲜章，原件备查，未提供或核查原件时无原件的，不计分。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258" w:type="pct"/>
            <w:vMerge w:val="continue"/>
            <w:vAlign w:val="center"/>
          </w:tcPr>
          <w:p>
            <w:pPr>
              <w:ind w:firstLine="480" w:firstLineChars="200"/>
              <w:rPr>
                <w:rFonts w:ascii="宋体"/>
                <w:kern w:val="0"/>
                <w:sz w:val="24"/>
              </w:rPr>
            </w:pPr>
          </w:p>
        </w:tc>
        <w:tc>
          <w:tcPr>
            <w:tcW w:w="664" w:type="pct"/>
            <w:vMerge w:val="continue"/>
            <w:vAlign w:val="center"/>
          </w:tcPr>
          <w:p>
            <w:pPr>
              <w:ind w:firstLine="480" w:firstLineChars="200"/>
              <w:rPr>
                <w:rFonts w:ascii="宋体"/>
                <w:kern w:val="0"/>
                <w:sz w:val="24"/>
              </w:rPr>
            </w:pPr>
          </w:p>
        </w:tc>
        <w:tc>
          <w:tcPr>
            <w:tcW w:w="679" w:type="pct"/>
            <w:vAlign w:val="center"/>
          </w:tcPr>
          <w:p>
            <w:pPr>
              <w:jc w:val="center"/>
              <w:rPr>
                <w:rFonts w:ascii="宋体"/>
                <w:kern w:val="0"/>
                <w:szCs w:val="21"/>
              </w:rPr>
            </w:pPr>
            <w:r>
              <w:rPr>
                <w:rFonts w:ascii="宋体"/>
                <w:kern w:val="0"/>
                <w:szCs w:val="21"/>
              </w:rPr>
              <w:t>3</w:t>
            </w:r>
          </w:p>
        </w:tc>
        <w:tc>
          <w:tcPr>
            <w:tcW w:w="2185" w:type="pct"/>
            <w:vAlign w:val="center"/>
          </w:tcPr>
          <w:p>
            <w:pPr>
              <w:spacing w:line="360" w:lineRule="auto"/>
              <w:rPr>
                <w:rFonts w:ascii="宋体"/>
                <w:kern w:val="0"/>
                <w:szCs w:val="21"/>
              </w:rPr>
            </w:pPr>
            <w:r>
              <w:rPr>
                <w:rFonts w:hint="eastAsia" w:ascii="宋体"/>
                <w:kern w:val="0"/>
                <w:szCs w:val="21"/>
              </w:rPr>
              <w:t>1. 提供2018—2020年度财务状况报告（</w:t>
            </w:r>
            <w:r>
              <w:rPr>
                <w:rFonts w:hint="eastAsia" w:ascii="宋体"/>
                <w:kern w:val="0"/>
                <w:szCs w:val="21"/>
                <w:lang w:eastAsia="zh-Hans"/>
              </w:rPr>
              <w:t>或</w:t>
            </w:r>
            <w:r>
              <w:rPr>
                <w:rFonts w:hint="eastAsia" w:ascii="宋体"/>
                <w:kern w:val="0"/>
                <w:szCs w:val="21"/>
              </w:rPr>
              <w:t>审计表）或其基本开户银行出具的资信证明复印件，每盈利1年得1分，最多得</w:t>
            </w:r>
            <w:r>
              <w:rPr>
                <w:rFonts w:ascii="宋体"/>
                <w:kern w:val="0"/>
                <w:szCs w:val="21"/>
              </w:rPr>
              <w:t>3</w:t>
            </w:r>
            <w:r>
              <w:rPr>
                <w:rFonts w:hint="eastAsia" w:ascii="宋体"/>
                <w:kern w:val="0"/>
                <w:szCs w:val="21"/>
              </w:rPr>
              <w:t xml:space="preserve">分。未提供不得分； </w:t>
            </w:r>
          </w:p>
          <w:p>
            <w:pPr>
              <w:spacing w:line="360" w:lineRule="auto"/>
              <w:rPr>
                <w:rFonts w:ascii="宋体"/>
                <w:kern w:val="0"/>
                <w:szCs w:val="21"/>
              </w:rPr>
            </w:pPr>
            <w:r>
              <w:rPr>
                <w:rFonts w:hint="eastAsia" w:ascii="宋体"/>
                <w:kern w:val="0"/>
                <w:szCs w:val="21"/>
              </w:rPr>
              <w:t xml:space="preserve">                  </w:t>
            </w:r>
          </w:p>
        </w:tc>
        <w:tc>
          <w:tcPr>
            <w:tcW w:w="1212" w:type="pct"/>
            <w:vAlign w:val="center"/>
          </w:tcPr>
          <w:p>
            <w:pPr>
              <w:ind w:firstLine="10" w:firstLineChars="5"/>
              <w:rPr>
                <w:rFonts w:ascii="仿宋" w:hAnsi="仿宋" w:eastAsia="仿宋"/>
                <w:szCs w:val="21"/>
              </w:rPr>
            </w:pPr>
            <w:r>
              <w:rPr>
                <w:rFonts w:hint="eastAsia" w:ascii="仿宋" w:hAnsi="仿宋" w:eastAsia="仿宋"/>
                <w:szCs w:val="21"/>
              </w:rPr>
              <w:t>提供财务状况报告或其基本开户银行出具的资信证明复复印件（加盖鲜章，原件开评标现场备查），未提供不得分。</w:t>
            </w:r>
          </w:p>
          <w:p>
            <w:pPr>
              <w:ind w:firstLine="10" w:firstLineChars="5"/>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58" w:type="pct"/>
            <w:vMerge w:val="continue"/>
            <w:vAlign w:val="center"/>
          </w:tcPr>
          <w:p>
            <w:pPr>
              <w:ind w:firstLine="480" w:firstLineChars="200"/>
              <w:rPr>
                <w:rFonts w:ascii="宋体"/>
                <w:kern w:val="0"/>
                <w:sz w:val="24"/>
              </w:rPr>
            </w:pPr>
          </w:p>
        </w:tc>
        <w:tc>
          <w:tcPr>
            <w:tcW w:w="664" w:type="pct"/>
            <w:vMerge w:val="continue"/>
            <w:vAlign w:val="center"/>
          </w:tcPr>
          <w:p>
            <w:pPr>
              <w:ind w:firstLine="480" w:firstLineChars="200"/>
              <w:rPr>
                <w:rFonts w:ascii="宋体"/>
                <w:kern w:val="0"/>
                <w:sz w:val="24"/>
              </w:rPr>
            </w:pPr>
          </w:p>
        </w:tc>
        <w:tc>
          <w:tcPr>
            <w:tcW w:w="679" w:type="pct"/>
            <w:vAlign w:val="center"/>
          </w:tcPr>
          <w:p>
            <w:pPr>
              <w:jc w:val="center"/>
              <w:rPr>
                <w:rFonts w:ascii="宋体"/>
                <w:kern w:val="0"/>
                <w:szCs w:val="21"/>
              </w:rPr>
            </w:pPr>
            <w:r>
              <w:rPr>
                <w:rFonts w:hint="eastAsia" w:ascii="宋体"/>
                <w:kern w:val="0"/>
                <w:szCs w:val="21"/>
              </w:rPr>
              <w:t>15</w:t>
            </w:r>
          </w:p>
        </w:tc>
        <w:tc>
          <w:tcPr>
            <w:tcW w:w="2185" w:type="pct"/>
            <w:vAlign w:val="center"/>
          </w:tcPr>
          <w:p>
            <w:pPr>
              <w:spacing w:line="360" w:lineRule="auto"/>
              <w:rPr>
                <w:rFonts w:ascii="宋体"/>
                <w:kern w:val="0"/>
                <w:szCs w:val="21"/>
              </w:rPr>
            </w:pPr>
            <w:r>
              <w:rPr>
                <w:rFonts w:hint="eastAsia" w:ascii="宋体"/>
                <w:kern w:val="0"/>
                <w:szCs w:val="21"/>
              </w:rPr>
              <w:t>拟派人员：（15）</w:t>
            </w:r>
          </w:p>
          <w:p>
            <w:pPr>
              <w:spacing w:line="360" w:lineRule="auto"/>
              <w:rPr>
                <w:rFonts w:ascii="宋体"/>
                <w:kern w:val="0"/>
                <w:szCs w:val="21"/>
              </w:rPr>
            </w:pPr>
            <w:r>
              <w:rPr>
                <w:rFonts w:hint="eastAsia" w:ascii="宋体"/>
                <w:kern w:val="0"/>
                <w:szCs w:val="21"/>
              </w:rPr>
              <w:t>1、项目负责人、技术人员：</w:t>
            </w:r>
          </w:p>
          <w:p>
            <w:pPr>
              <w:spacing w:line="360" w:lineRule="auto"/>
              <w:rPr>
                <w:rFonts w:ascii="宋体"/>
                <w:kern w:val="0"/>
                <w:szCs w:val="21"/>
              </w:rPr>
            </w:pPr>
            <w:r>
              <w:rPr>
                <w:rFonts w:hint="eastAsia" w:ascii="宋体"/>
                <w:kern w:val="0"/>
                <w:szCs w:val="21"/>
              </w:rPr>
              <w:t xml:space="preserve">需具有提供在有效期内省级及以上环保部门（含环保产业协会）或环保部门（含环保产业协会）认可的培训机构颁发的自动监控（水）培训合格证书复印件（提供原件备查）有一个得3分，最多得15分。未提供不得分； </w:t>
            </w:r>
          </w:p>
          <w:p>
            <w:pPr>
              <w:spacing w:line="360" w:lineRule="auto"/>
              <w:rPr>
                <w:rFonts w:ascii="宋体"/>
                <w:kern w:val="0"/>
                <w:szCs w:val="21"/>
              </w:rPr>
            </w:pPr>
          </w:p>
        </w:tc>
        <w:tc>
          <w:tcPr>
            <w:tcW w:w="1212" w:type="pct"/>
            <w:vAlign w:val="center"/>
          </w:tcPr>
          <w:p>
            <w:pPr>
              <w:spacing w:line="260" w:lineRule="exact"/>
              <w:rPr>
                <w:rFonts w:ascii="仿宋" w:hAnsi="仿宋" w:eastAsia="仿宋"/>
                <w:szCs w:val="21"/>
              </w:rPr>
            </w:pPr>
            <w:r>
              <w:rPr>
                <w:rFonts w:hint="eastAsia" w:ascii="仿宋" w:hAnsi="仿宋" w:eastAsia="仿宋"/>
                <w:szCs w:val="21"/>
              </w:rPr>
              <w:t>1、</w:t>
            </w:r>
            <w:r>
              <w:rPr>
                <w:rFonts w:ascii="仿宋" w:hAnsi="仿宋" w:eastAsia="仿宋"/>
                <w:szCs w:val="21"/>
              </w:rPr>
              <w:t>投标人在投标截止日当月或上一月为派往本项目人员缴纳社保的证明（以人社部门出具的资料为准）；</w:t>
            </w:r>
            <w:r>
              <w:rPr>
                <w:rFonts w:hint="eastAsia" w:ascii="仿宋" w:hAnsi="仿宋" w:eastAsia="仿宋"/>
                <w:szCs w:val="21"/>
              </w:rPr>
              <w:t>加盖</w:t>
            </w:r>
            <w:r>
              <w:rPr>
                <w:rFonts w:ascii="仿宋" w:hAnsi="仿宋" w:eastAsia="仿宋"/>
                <w:szCs w:val="21"/>
              </w:rPr>
              <w:t>投标人</w:t>
            </w:r>
            <w:r>
              <w:rPr>
                <w:rFonts w:hint="eastAsia" w:ascii="仿宋" w:hAnsi="仿宋" w:eastAsia="仿宋"/>
                <w:szCs w:val="21"/>
              </w:rPr>
              <w:t>鲜章，原件开评标现场备查。以上证明材料不提供或提供不全不得分。</w:t>
            </w:r>
          </w:p>
          <w:p>
            <w:pPr>
              <w:rPr>
                <w:rFonts w:ascii="仿宋" w:hAnsi="仿宋" w:eastAsia="仿宋"/>
                <w:szCs w:val="21"/>
              </w:rPr>
            </w:pPr>
            <w:r>
              <w:rPr>
                <w:rFonts w:hint="eastAsia" w:ascii="仿宋" w:hAnsi="仿宋" w:eastAsia="仿宋"/>
                <w:szCs w:val="21"/>
              </w:rPr>
              <w:t>（以上人员证书一人多证的可以重复计分）</w:t>
            </w:r>
          </w:p>
          <w:p>
            <w:pPr>
              <w:spacing w:line="2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Align w:val="center"/>
          </w:tcPr>
          <w:p>
            <w:pPr>
              <w:ind w:firstLine="480" w:firstLineChars="200"/>
              <w:jc w:val="center"/>
              <w:rPr>
                <w:rFonts w:ascii="宋体"/>
                <w:kern w:val="0"/>
                <w:sz w:val="24"/>
              </w:rPr>
            </w:pPr>
            <w:r>
              <w:rPr>
                <w:rFonts w:hint="eastAsia" w:ascii="宋体"/>
                <w:kern w:val="0"/>
                <w:sz w:val="24"/>
              </w:rPr>
              <w:t>序</w:t>
            </w:r>
          </w:p>
        </w:tc>
        <w:tc>
          <w:tcPr>
            <w:tcW w:w="664" w:type="pct"/>
            <w:vAlign w:val="center"/>
          </w:tcPr>
          <w:p>
            <w:pPr>
              <w:rPr>
                <w:rFonts w:ascii="宋体"/>
                <w:kern w:val="0"/>
                <w:szCs w:val="21"/>
              </w:rPr>
            </w:pPr>
            <w:r>
              <w:rPr>
                <w:rFonts w:ascii="宋体"/>
                <w:kern w:val="0"/>
                <w:szCs w:val="21"/>
              </w:rPr>
              <w:t>加分项目</w:t>
            </w:r>
          </w:p>
        </w:tc>
        <w:tc>
          <w:tcPr>
            <w:tcW w:w="679" w:type="pct"/>
            <w:vAlign w:val="center"/>
          </w:tcPr>
          <w:p>
            <w:pPr>
              <w:jc w:val="center"/>
              <w:rPr>
                <w:rFonts w:ascii="宋体"/>
                <w:kern w:val="0"/>
                <w:szCs w:val="21"/>
              </w:rPr>
            </w:pPr>
            <w:r>
              <w:rPr>
                <w:rFonts w:hint="eastAsia" w:ascii="宋体"/>
                <w:kern w:val="0"/>
                <w:szCs w:val="21"/>
              </w:rPr>
              <w:t>10</w:t>
            </w:r>
          </w:p>
        </w:tc>
        <w:tc>
          <w:tcPr>
            <w:tcW w:w="2185" w:type="pct"/>
            <w:vAlign w:val="center"/>
          </w:tcPr>
          <w:p>
            <w:pPr>
              <w:spacing w:line="360" w:lineRule="auto"/>
              <w:rPr>
                <w:rFonts w:ascii="宋体"/>
                <w:kern w:val="0"/>
                <w:szCs w:val="21"/>
              </w:rPr>
            </w:pPr>
            <w:r>
              <w:rPr>
                <w:rFonts w:hint="eastAsia" w:ascii="宋体"/>
                <w:kern w:val="0"/>
                <w:szCs w:val="21"/>
              </w:rPr>
              <w:t>1.设备质保期（10分）：</w:t>
            </w:r>
          </w:p>
          <w:p>
            <w:pPr>
              <w:spacing w:line="360" w:lineRule="auto"/>
              <w:rPr>
                <w:rFonts w:ascii="宋体" w:hAnsi="宋体" w:cs="宋体"/>
                <w:sz w:val="24"/>
              </w:rPr>
            </w:pPr>
            <w:r>
              <w:rPr>
                <w:rFonts w:hint="eastAsia" w:ascii="宋体"/>
                <w:kern w:val="0"/>
                <w:szCs w:val="21"/>
              </w:rPr>
              <w:t>在属于国家规定质保期后，整套设备设施系统免费质保，每承诺质保增加一年得5分; 最多得10分.</w:t>
            </w:r>
          </w:p>
        </w:tc>
        <w:tc>
          <w:tcPr>
            <w:tcW w:w="1212" w:type="pct"/>
            <w:vAlign w:val="center"/>
          </w:tcPr>
          <w:p>
            <w:pPr>
              <w:rPr>
                <w:rFonts w:ascii="仿宋" w:hAnsi="仿宋" w:eastAsia="仿宋"/>
                <w:szCs w:val="21"/>
              </w:rPr>
            </w:pPr>
            <w:r>
              <w:rPr>
                <w:rFonts w:ascii="仿宋" w:hAnsi="仿宋" w:eastAsia="仿宋"/>
                <w:szCs w:val="21"/>
              </w:rPr>
              <w:t>书面承诺，</w:t>
            </w:r>
            <w:r>
              <w:rPr>
                <w:rFonts w:hint="eastAsia" w:ascii="仿宋" w:hAnsi="仿宋" w:eastAsia="仿宋"/>
                <w:szCs w:val="21"/>
              </w:rPr>
              <w:t>加盖投标人公章。未提供不加分</w:t>
            </w:r>
          </w:p>
        </w:tc>
      </w:tr>
    </w:tbl>
    <w:p>
      <w:pPr>
        <w:snapToGrid w:val="0"/>
        <w:spacing w:line="560" w:lineRule="exact"/>
        <w:ind w:firstLine="420" w:firstLineChars="200"/>
        <w:rPr>
          <w:rFonts w:cs="宋体"/>
          <w:szCs w:val="21"/>
        </w:rPr>
      </w:pPr>
      <w:r>
        <w:rPr>
          <w:rFonts w:hint="eastAsia" w:cs="宋体"/>
          <w:szCs w:val="21"/>
        </w:rPr>
        <w:t>2.磋商小组依据上述评审办法，按分值由高到低的顺序提出3名成交候选人，并编写评审报告。</w:t>
      </w:r>
    </w:p>
    <w:p>
      <w:pPr>
        <w:snapToGrid w:val="0"/>
        <w:spacing w:line="560" w:lineRule="exact"/>
        <w:ind w:firstLine="420" w:firstLineChars="200"/>
        <w:rPr>
          <w:rFonts w:cs="宋体"/>
          <w:szCs w:val="21"/>
        </w:rPr>
      </w:pPr>
      <w:r>
        <w:rPr>
          <w:rFonts w:hint="eastAsia" w:cs="宋体"/>
          <w:szCs w:val="21"/>
        </w:rPr>
        <w:t>成交供应商=评审分数最高者</w:t>
      </w:r>
    </w:p>
    <w:p>
      <w:pPr>
        <w:snapToGrid w:val="0"/>
        <w:spacing w:line="560" w:lineRule="exact"/>
        <w:ind w:firstLine="420" w:firstLineChars="200"/>
        <w:rPr>
          <w:rFonts w:cs="宋体"/>
          <w:szCs w:val="21"/>
        </w:rPr>
      </w:pPr>
      <w:r>
        <w:rPr>
          <w:rFonts w:hint="eastAsia" w:cs="宋体"/>
          <w:szCs w:val="21"/>
        </w:rPr>
        <w:t>3.成交供应商的变更</w:t>
      </w:r>
    </w:p>
    <w:p>
      <w:pPr>
        <w:snapToGrid w:val="0"/>
        <w:spacing w:line="560" w:lineRule="exact"/>
        <w:ind w:firstLine="480" w:firstLineChars="200"/>
        <w:rPr>
          <w:rFonts w:cs="宋体"/>
          <w:szCs w:val="21"/>
        </w:rPr>
      </w:pPr>
      <w:r>
        <w:rPr>
          <w:rFonts w:hint="eastAsia" w:ascii="宋体"/>
          <w:kern w:val="0"/>
          <w:sz w:val="24"/>
          <w:szCs w:val="20"/>
        </w:rPr>
        <w:t>3</w:t>
      </w:r>
      <w:r>
        <w:rPr>
          <w:rFonts w:hint="eastAsia" w:cs="宋体"/>
          <w:szCs w:val="21"/>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pPr>
        <w:pStyle w:val="4"/>
        <w:spacing w:before="0" w:after="0" w:line="560" w:lineRule="exact"/>
        <w:ind w:firstLine="562" w:firstLineChars="200"/>
        <w:rPr>
          <w:rFonts w:cs="宋体"/>
          <w:bCs w:val="0"/>
          <w:sz w:val="28"/>
          <w:szCs w:val="28"/>
        </w:rPr>
      </w:pPr>
      <w:bookmarkStart w:id="34" w:name="_Toc29543171"/>
      <w:bookmarkStart w:id="35" w:name="_Toc342913395"/>
      <w:bookmarkStart w:id="36" w:name="_Toc102227321"/>
      <w:r>
        <w:rPr>
          <w:rFonts w:hint="eastAsia" w:cs="宋体"/>
          <w:bCs w:val="0"/>
          <w:sz w:val="28"/>
          <w:szCs w:val="28"/>
        </w:rPr>
        <w:t>七、</w:t>
      </w:r>
      <w:bookmarkEnd w:id="34"/>
      <w:bookmarkEnd w:id="35"/>
      <w:bookmarkEnd w:id="36"/>
      <w:r>
        <w:rPr>
          <w:rFonts w:hint="eastAsia" w:cs="宋体"/>
          <w:bCs w:val="0"/>
          <w:sz w:val="28"/>
          <w:szCs w:val="28"/>
        </w:rPr>
        <w:t>结果公布</w:t>
      </w:r>
    </w:p>
    <w:p>
      <w:pPr>
        <w:snapToGrid w:val="0"/>
        <w:spacing w:line="560" w:lineRule="exact"/>
        <w:ind w:firstLine="420" w:firstLineChars="200"/>
        <w:rPr>
          <w:rFonts w:cs="宋体"/>
          <w:szCs w:val="21"/>
        </w:rPr>
      </w:pPr>
      <w:r>
        <w:rPr>
          <w:rFonts w:hint="eastAsia" w:cs="宋体"/>
          <w:szCs w:val="21"/>
        </w:rPr>
        <w:t>成交供应商确定后，采购人将在重庆市政府采购云平台·服务超市（https://chinazhyc.zbj.com/）和重庆市江北区中医院官网（https://www.jbzyy.com）上公布磋商结果，若有供应商对成交结果提出质疑的，应在公布成交结果后3个工作日内向采购人提出书面质疑。</w:t>
      </w:r>
    </w:p>
    <w:p>
      <w:pPr>
        <w:pStyle w:val="4"/>
        <w:spacing w:before="0" w:after="0" w:line="560" w:lineRule="exact"/>
        <w:rPr>
          <w:rFonts w:cs="宋体"/>
          <w:bCs w:val="0"/>
          <w:sz w:val="28"/>
          <w:szCs w:val="28"/>
        </w:rPr>
      </w:pPr>
      <w:bookmarkStart w:id="37" w:name="_Toc29543172"/>
      <w:r>
        <w:rPr>
          <w:rFonts w:hint="eastAsia" w:cs="宋体"/>
          <w:bCs w:val="0"/>
          <w:sz w:val="28"/>
          <w:szCs w:val="28"/>
        </w:rPr>
        <w:t>八、</w:t>
      </w:r>
      <w:bookmarkEnd w:id="37"/>
      <w:r>
        <w:rPr>
          <w:rFonts w:hint="eastAsia" w:cs="宋体"/>
          <w:bCs w:val="0"/>
          <w:sz w:val="28"/>
          <w:szCs w:val="28"/>
        </w:rPr>
        <w:t>质疑</w:t>
      </w:r>
    </w:p>
    <w:p>
      <w:pPr>
        <w:spacing w:line="560" w:lineRule="exact"/>
        <w:ind w:firstLine="480"/>
        <w:rPr>
          <w:rFonts w:cs="宋体"/>
          <w:szCs w:val="21"/>
        </w:rPr>
      </w:pPr>
      <w:r>
        <w:rPr>
          <w:rFonts w:hint="eastAsia" w:cs="宋体"/>
          <w:szCs w:val="21"/>
        </w:rPr>
        <w:t>供应商认为磋商文件、评审过程和成交结果使自己的权益受到损害的，可向采购人或采购代理机构以书面形式提出质疑。</w:t>
      </w:r>
    </w:p>
    <w:p>
      <w:pPr>
        <w:spacing w:line="560" w:lineRule="exact"/>
        <w:ind w:firstLine="480"/>
        <w:rPr>
          <w:rFonts w:cs="宋体"/>
          <w:szCs w:val="21"/>
        </w:rPr>
      </w:pPr>
      <w:r>
        <w:rPr>
          <w:rFonts w:hint="eastAsia" w:cs="宋体"/>
          <w:szCs w:val="21"/>
        </w:rPr>
        <w:t xml:space="preserve">提出质疑的应当是参与所质疑项目采购活动的供应商。 </w:t>
      </w:r>
    </w:p>
    <w:p>
      <w:pPr>
        <w:spacing w:line="560" w:lineRule="exact"/>
        <w:ind w:firstLine="480"/>
        <w:rPr>
          <w:rFonts w:cs="宋体"/>
          <w:szCs w:val="21"/>
        </w:rPr>
      </w:pPr>
      <w:r>
        <w:rPr>
          <w:rFonts w:hint="eastAsia" w:cs="宋体"/>
          <w:szCs w:val="21"/>
        </w:rPr>
        <w:t>1.质疑时限、内容</w:t>
      </w:r>
    </w:p>
    <w:p>
      <w:pPr>
        <w:spacing w:line="560" w:lineRule="exact"/>
        <w:ind w:firstLine="480"/>
        <w:rPr>
          <w:rFonts w:cs="宋体"/>
          <w:szCs w:val="21"/>
        </w:rPr>
      </w:pPr>
      <w:r>
        <w:rPr>
          <w:rFonts w:hint="eastAsia" w:cs="宋体"/>
          <w:szCs w:val="21"/>
        </w:rPr>
        <w:t>1.1供应商认为采购文件、采购过程、成交结果使自己的权益受到损害的，可以在知道或者应知其权益受到损害之日起7个工作日内，以书面形式向采购人、采购代理机构提出质疑。</w:t>
      </w:r>
    </w:p>
    <w:p>
      <w:pPr>
        <w:spacing w:line="560" w:lineRule="exact"/>
        <w:ind w:firstLine="480"/>
        <w:rPr>
          <w:rFonts w:cs="宋体"/>
          <w:szCs w:val="21"/>
        </w:rPr>
      </w:pPr>
      <w:r>
        <w:rPr>
          <w:rFonts w:hint="eastAsia" w:cs="宋体"/>
          <w:szCs w:val="21"/>
        </w:rPr>
        <w:t>1.2供应商提出质疑应当提交质疑函和必要的证明材料，质疑函应当包括下列内容：</w:t>
      </w:r>
    </w:p>
    <w:p>
      <w:pPr>
        <w:spacing w:line="560" w:lineRule="exact"/>
        <w:ind w:firstLine="480"/>
        <w:rPr>
          <w:rFonts w:cs="宋体"/>
          <w:szCs w:val="21"/>
        </w:rPr>
      </w:pPr>
      <w:r>
        <w:rPr>
          <w:rFonts w:hint="eastAsia" w:cs="宋体"/>
          <w:szCs w:val="21"/>
        </w:rPr>
        <w:t>1.2.1供应商的姓名或者名称、地址、邮编、联系人及联系电话；</w:t>
      </w:r>
    </w:p>
    <w:p>
      <w:pPr>
        <w:spacing w:line="560" w:lineRule="exact"/>
        <w:ind w:firstLine="480"/>
        <w:rPr>
          <w:rFonts w:cs="宋体"/>
          <w:szCs w:val="21"/>
        </w:rPr>
      </w:pPr>
      <w:r>
        <w:rPr>
          <w:rFonts w:hint="eastAsia" w:cs="宋体"/>
          <w:szCs w:val="21"/>
        </w:rPr>
        <w:t>1.2.2质疑项目的名称、项目号以及磋商项目编号；</w:t>
      </w:r>
    </w:p>
    <w:p>
      <w:pPr>
        <w:spacing w:line="560" w:lineRule="exact"/>
        <w:ind w:firstLine="480"/>
        <w:rPr>
          <w:rFonts w:cs="宋体"/>
          <w:szCs w:val="21"/>
        </w:rPr>
      </w:pPr>
      <w:r>
        <w:rPr>
          <w:rFonts w:hint="eastAsia" w:cs="宋体"/>
          <w:szCs w:val="21"/>
        </w:rPr>
        <w:t>1.2.3具体、明确的质疑事项和与质疑事项相关的请求；</w:t>
      </w:r>
    </w:p>
    <w:p>
      <w:pPr>
        <w:spacing w:line="560" w:lineRule="exact"/>
        <w:ind w:firstLine="480"/>
        <w:rPr>
          <w:rFonts w:cs="宋体"/>
          <w:szCs w:val="21"/>
        </w:rPr>
      </w:pPr>
      <w:r>
        <w:rPr>
          <w:rFonts w:hint="eastAsia" w:cs="宋体"/>
          <w:szCs w:val="21"/>
        </w:rPr>
        <w:t>1.2.4事实依据；</w:t>
      </w:r>
    </w:p>
    <w:p>
      <w:pPr>
        <w:spacing w:line="560" w:lineRule="exact"/>
        <w:ind w:firstLine="480"/>
        <w:rPr>
          <w:rFonts w:cs="宋体"/>
          <w:szCs w:val="21"/>
        </w:rPr>
      </w:pPr>
      <w:r>
        <w:rPr>
          <w:rFonts w:hint="eastAsia" w:cs="宋体"/>
          <w:szCs w:val="21"/>
        </w:rPr>
        <w:t>1.2.5必要的法律依据；</w:t>
      </w:r>
    </w:p>
    <w:p>
      <w:pPr>
        <w:spacing w:line="560" w:lineRule="exact"/>
        <w:ind w:firstLine="480"/>
        <w:rPr>
          <w:rFonts w:cs="宋体"/>
          <w:szCs w:val="21"/>
        </w:rPr>
      </w:pPr>
      <w:r>
        <w:rPr>
          <w:rFonts w:hint="eastAsia" w:cs="宋体"/>
          <w:szCs w:val="21"/>
        </w:rPr>
        <w:t>1.2.6提出质疑的日期；</w:t>
      </w:r>
    </w:p>
    <w:p>
      <w:pPr>
        <w:spacing w:line="560" w:lineRule="exact"/>
        <w:ind w:firstLine="480"/>
        <w:rPr>
          <w:rFonts w:cs="宋体"/>
          <w:szCs w:val="21"/>
        </w:rPr>
      </w:pPr>
      <w:r>
        <w:rPr>
          <w:rFonts w:hint="eastAsia" w:cs="宋体"/>
          <w:szCs w:val="21"/>
        </w:rPr>
        <w:t>1.2.7营业执照（或事业单位法人证书，或个体工商户营业执照或有效的自然人身份证明、组织机构代码证）复印件；</w:t>
      </w:r>
    </w:p>
    <w:p>
      <w:pPr>
        <w:spacing w:line="560" w:lineRule="exact"/>
        <w:ind w:firstLine="480"/>
        <w:rPr>
          <w:rFonts w:cs="宋体"/>
          <w:szCs w:val="21"/>
        </w:rPr>
      </w:pPr>
      <w:r>
        <w:rPr>
          <w:rFonts w:hint="eastAsia" w:cs="宋体"/>
          <w:szCs w:val="21"/>
        </w:rPr>
        <w:t>1.2.8法定代表人授权委托书原件、法定代表人身份证复印件和其授权代表的身份证复印件（供应商为自然人的提供自然人身份证复印件）；</w:t>
      </w:r>
    </w:p>
    <w:p>
      <w:pPr>
        <w:spacing w:line="560" w:lineRule="exact"/>
        <w:ind w:firstLine="480"/>
        <w:rPr>
          <w:rFonts w:cs="宋体"/>
          <w:szCs w:val="21"/>
        </w:rPr>
      </w:pPr>
      <w:r>
        <w:rPr>
          <w:rFonts w:hint="eastAsia" w:cs="宋体"/>
          <w:szCs w:val="21"/>
        </w:rPr>
        <w:t>1.3供应商为自然人的，质疑函应当由本人签字；供应商为法人或者其他组织的，质疑函应当由法定代表人、主要负责人，或者其授权代表签字或者盖章，并加盖公章。</w:t>
      </w:r>
    </w:p>
    <w:p>
      <w:pPr>
        <w:spacing w:line="560" w:lineRule="exact"/>
        <w:ind w:firstLine="480"/>
        <w:rPr>
          <w:rFonts w:cs="宋体"/>
          <w:szCs w:val="21"/>
        </w:rPr>
      </w:pPr>
      <w:r>
        <w:rPr>
          <w:rFonts w:hint="eastAsia" w:cs="宋体"/>
          <w:szCs w:val="21"/>
        </w:rPr>
        <w:t>2.质疑答复</w:t>
      </w:r>
    </w:p>
    <w:p>
      <w:pPr>
        <w:spacing w:line="560" w:lineRule="exact"/>
        <w:ind w:firstLine="480"/>
        <w:rPr>
          <w:rFonts w:cs="宋体"/>
          <w:szCs w:val="21"/>
        </w:rPr>
      </w:pPr>
      <w:r>
        <w:rPr>
          <w:rFonts w:hint="eastAsia" w:cs="宋体"/>
          <w:szCs w:val="21"/>
        </w:rPr>
        <w:t>采购人、采购代理机构应当在收到供应商的书面质疑后七个工作日内作出答复，并以书面形式通知质疑供应商和其他有关供应商。</w:t>
      </w:r>
    </w:p>
    <w:p>
      <w:pPr>
        <w:spacing w:line="560" w:lineRule="exact"/>
        <w:ind w:firstLine="480"/>
        <w:rPr>
          <w:rFonts w:cs="宋体"/>
          <w:szCs w:val="21"/>
        </w:rPr>
      </w:pPr>
      <w:r>
        <w:rPr>
          <w:rFonts w:hint="eastAsia" w:cs="宋体"/>
          <w:szCs w:val="21"/>
        </w:rPr>
        <w:t>3.其他</w:t>
      </w:r>
    </w:p>
    <w:p>
      <w:pPr>
        <w:spacing w:line="560" w:lineRule="exact"/>
        <w:ind w:firstLine="480"/>
        <w:rPr>
          <w:rFonts w:cs="宋体"/>
          <w:szCs w:val="21"/>
        </w:rPr>
      </w:pPr>
      <w:r>
        <w:rPr>
          <w:rFonts w:hint="eastAsia" w:cs="宋体"/>
          <w:szCs w:val="21"/>
        </w:rPr>
        <w:t>3.1供应商应按照《政府采购质疑和投诉办法》（财政部令第94号）及相关法律法规要求，在法定质疑期内一次性提出针对同一采购程序环节的质疑。</w:t>
      </w:r>
    </w:p>
    <w:p>
      <w:pPr>
        <w:spacing w:line="560" w:lineRule="exact"/>
        <w:ind w:firstLine="480"/>
        <w:rPr>
          <w:rFonts w:cs="宋体"/>
          <w:szCs w:val="21"/>
        </w:rPr>
      </w:pPr>
      <w:r>
        <w:rPr>
          <w:rFonts w:hint="eastAsia" w:cs="宋体"/>
          <w:szCs w:val="21"/>
        </w:rPr>
        <w:t>3.2质疑函范本可在财政部门户网站和中国政府采购网下载。</w:t>
      </w:r>
    </w:p>
    <w:p>
      <w:pPr>
        <w:pStyle w:val="4"/>
        <w:spacing w:before="0" w:after="0" w:line="560" w:lineRule="exact"/>
        <w:ind w:firstLine="562" w:firstLineChars="200"/>
        <w:rPr>
          <w:rFonts w:cs="宋体"/>
          <w:bCs w:val="0"/>
          <w:sz w:val="28"/>
          <w:szCs w:val="28"/>
        </w:rPr>
      </w:pPr>
      <w:bookmarkStart w:id="38" w:name="_Toc29543173"/>
      <w:bookmarkStart w:id="39" w:name="_Toc102227322"/>
      <w:bookmarkStart w:id="40" w:name="_Toc342913396"/>
      <w:r>
        <w:rPr>
          <w:rFonts w:hint="eastAsia" w:cs="宋体"/>
          <w:bCs w:val="0"/>
          <w:sz w:val="28"/>
          <w:szCs w:val="28"/>
        </w:rPr>
        <w:t>九、签订合同</w:t>
      </w:r>
      <w:bookmarkEnd w:id="38"/>
    </w:p>
    <w:p>
      <w:pPr>
        <w:spacing w:line="560" w:lineRule="exact"/>
        <w:ind w:firstLine="315" w:firstLineChars="150"/>
        <w:rPr>
          <w:rFonts w:cs="宋体"/>
          <w:szCs w:val="21"/>
        </w:rPr>
      </w:pPr>
      <w:r>
        <w:rPr>
          <w:rFonts w:hint="eastAsia" w:cs="宋体"/>
          <w:szCs w:val="21"/>
        </w:rPr>
        <w:t>（一）采购人应当自磋商结果公布之日起三十日内，按照竞争性磋商文件和成交供应商响应文件的约定，与成交供应商签订书面合同。所签订的合同不得对竞争性磋商文件和供应商的响应文件作实质性修改。</w:t>
      </w:r>
    </w:p>
    <w:p>
      <w:pPr>
        <w:spacing w:line="560" w:lineRule="exact"/>
        <w:ind w:firstLine="315" w:firstLineChars="150"/>
        <w:rPr>
          <w:rFonts w:cs="宋体"/>
          <w:szCs w:val="21"/>
        </w:rPr>
      </w:pPr>
      <w:r>
        <w:rPr>
          <w:rFonts w:hint="eastAsia" w:cs="宋体"/>
          <w:szCs w:val="21"/>
        </w:rPr>
        <w:t>（二）竞争性磋商文件、供应商的响应文件及澄清文件等，均为签订采购合同的依据。</w:t>
      </w:r>
      <w:bookmarkEnd w:id="39"/>
      <w:bookmarkEnd w:id="40"/>
    </w:p>
    <w:p>
      <w:pPr>
        <w:rPr>
          <w:rFonts w:cs="宋体"/>
          <w:szCs w:val="21"/>
        </w:rPr>
      </w:pPr>
    </w:p>
    <w:p>
      <w:pPr>
        <w:spacing w:line="560" w:lineRule="exact"/>
        <w:ind w:firstLine="480" w:firstLineChars="200"/>
        <w:rPr>
          <w:rFonts w:ascii="宋体"/>
          <w:kern w:val="0"/>
          <w:sz w:val="24"/>
          <w:szCs w:val="20"/>
        </w:rPr>
        <w:sectPr>
          <w:headerReference r:id="rId3" w:type="default"/>
          <w:footerReference r:id="rId4" w:type="default"/>
          <w:pgSz w:w="11907" w:h="16840"/>
          <w:pgMar w:top="1134" w:right="1191" w:bottom="1134" w:left="1304" w:header="964" w:footer="992" w:gutter="0"/>
          <w:pgNumType w:fmt="numberInDash"/>
          <w:cols w:space="720" w:num="1"/>
          <w:docGrid w:linePitch="312" w:charSpace="0"/>
        </w:sectPr>
      </w:pPr>
    </w:p>
    <w:p>
      <w:pPr>
        <w:pStyle w:val="3"/>
        <w:spacing w:before="0" w:after="0" w:line="560" w:lineRule="exact"/>
        <w:jc w:val="center"/>
        <w:rPr>
          <w:rFonts w:ascii="黑体" w:hAnsi="黑体"/>
          <w:b w:val="0"/>
          <w:color w:val="000000" w:themeColor="text1"/>
        </w:rPr>
      </w:pPr>
      <w:bookmarkStart w:id="41" w:name="_Toc29543175"/>
      <w:r>
        <w:rPr>
          <w:rFonts w:hint="eastAsia" w:ascii="黑体" w:hAnsi="黑体"/>
          <w:b w:val="0"/>
          <w:color w:val="000000" w:themeColor="text1"/>
        </w:rPr>
        <w:t>第三篇  磋商项目技术需求</w:t>
      </w:r>
      <w:bookmarkEnd w:id="41"/>
    </w:p>
    <w:p>
      <w:pPr>
        <w:pStyle w:val="4"/>
        <w:spacing w:before="0" w:after="0" w:line="360" w:lineRule="auto"/>
        <w:rPr>
          <w:rFonts w:ascii="Arial" w:hAnsi="Arial"/>
          <w:sz w:val="28"/>
          <w:lang w:val="zh-CN"/>
        </w:rPr>
      </w:pPr>
      <w:bookmarkStart w:id="42" w:name="_Toc12789058"/>
      <w:r>
        <w:rPr>
          <w:rFonts w:hint="eastAsia" w:ascii="仿宋_GB2312" w:hAnsi="仿宋_GB2312" w:eastAsia="方正小标宋_GBK" w:cs="仿宋_GB2312"/>
          <w:lang w:eastAsia="zh-CN"/>
        </w:rPr>
        <w:t>※</w:t>
      </w:r>
      <w:r>
        <w:rPr>
          <w:rFonts w:hint="eastAsia" w:eastAsia="方正小标宋_GBK"/>
          <w:color w:val="000000" w:themeColor="text1"/>
        </w:rPr>
        <w:t>一</w:t>
      </w:r>
      <w:r>
        <w:rPr>
          <w:rFonts w:hint="eastAsia" w:cs="宋体"/>
          <w:bCs w:val="0"/>
          <w:sz w:val="28"/>
          <w:szCs w:val="28"/>
        </w:rPr>
        <w:t>、</w:t>
      </w:r>
      <w:r>
        <w:rPr>
          <w:rFonts w:hint="eastAsia" w:ascii="Arial" w:hAnsi="Arial"/>
          <w:sz w:val="28"/>
          <w:lang w:val="zh-CN"/>
        </w:rPr>
        <w:t>项目基本概况介绍</w:t>
      </w:r>
    </w:p>
    <w:p>
      <w:pPr>
        <w:rPr>
          <w:lang w:val="zh-CN"/>
        </w:rPr>
      </w:pPr>
      <w:r>
        <w:rPr>
          <w:rFonts w:hint="eastAsia" w:ascii="宋体" w:hAnsi="宋体" w:cs="宋体"/>
          <w:kern w:val="0"/>
          <w:sz w:val="28"/>
          <w:szCs w:val="28"/>
          <w:highlight w:val="yellow"/>
        </w:rPr>
        <w:t>江北区中医院自动监测站在线监测设备及站房维修改造外包服务范围</w:t>
      </w:r>
    </w:p>
    <w:tbl>
      <w:tblPr>
        <w:tblStyle w:val="57"/>
        <w:tblpPr w:leftFromText="180" w:rightFromText="180" w:vertAnchor="text" w:horzAnchor="page" w:tblpX="1516" w:tblpY="11"/>
        <w:tblOverlap w:val="never"/>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330"/>
        <w:gridCol w:w="1650"/>
        <w:gridCol w:w="1470"/>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34" w:type="dxa"/>
            <w:vAlign w:val="center"/>
          </w:tcPr>
          <w:p>
            <w:pPr>
              <w:spacing w:line="260" w:lineRule="exact"/>
              <w:jc w:val="center"/>
              <w:rPr>
                <w:rFonts w:ascii="仿宋" w:hAnsi="仿宋" w:eastAsia="仿宋" w:cs="仿宋"/>
                <w:szCs w:val="21"/>
              </w:rPr>
            </w:pPr>
            <w:r>
              <w:rPr>
                <w:rFonts w:hint="eastAsia" w:ascii="仿宋" w:hAnsi="仿宋" w:eastAsia="仿宋" w:cs="仿宋"/>
                <w:szCs w:val="21"/>
              </w:rPr>
              <w:t>序号</w:t>
            </w:r>
          </w:p>
        </w:tc>
        <w:tc>
          <w:tcPr>
            <w:tcW w:w="3330" w:type="dxa"/>
            <w:vAlign w:val="center"/>
          </w:tcPr>
          <w:p>
            <w:pPr>
              <w:spacing w:line="260" w:lineRule="exact"/>
              <w:jc w:val="center"/>
              <w:rPr>
                <w:rFonts w:ascii="仿宋" w:hAnsi="仿宋" w:eastAsia="仿宋" w:cs="仿宋"/>
                <w:szCs w:val="21"/>
              </w:rPr>
            </w:pPr>
            <w:r>
              <w:rPr>
                <w:rFonts w:hint="eastAsia" w:ascii="仿宋" w:hAnsi="仿宋" w:eastAsia="仿宋" w:cs="仿宋"/>
                <w:szCs w:val="21"/>
              </w:rPr>
              <w:t>名称</w:t>
            </w:r>
          </w:p>
        </w:tc>
        <w:tc>
          <w:tcPr>
            <w:tcW w:w="1650" w:type="dxa"/>
            <w:vAlign w:val="center"/>
          </w:tcPr>
          <w:p>
            <w:pPr>
              <w:spacing w:line="260" w:lineRule="exact"/>
              <w:jc w:val="center"/>
              <w:rPr>
                <w:rFonts w:ascii="仿宋" w:hAnsi="仿宋" w:eastAsia="仿宋" w:cs="仿宋"/>
                <w:szCs w:val="21"/>
              </w:rPr>
            </w:pPr>
            <w:r>
              <w:rPr>
                <w:rFonts w:hint="eastAsia" w:ascii="仿宋" w:hAnsi="仿宋" w:eastAsia="仿宋" w:cs="仿宋"/>
                <w:szCs w:val="21"/>
              </w:rPr>
              <w:t>单位</w:t>
            </w:r>
          </w:p>
        </w:tc>
        <w:tc>
          <w:tcPr>
            <w:tcW w:w="1470" w:type="dxa"/>
            <w:vAlign w:val="center"/>
          </w:tcPr>
          <w:p>
            <w:pPr>
              <w:spacing w:line="260" w:lineRule="exact"/>
              <w:jc w:val="center"/>
              <w:rPr>
                <w:rFonts w:ascii="仿宋" w:hAnsi="仿宋" w:eastAsia="仿宋" w:cs="仿宋"/>
                <w:szCs w:val="21"/>
              </w:rPr>
            </w:pPr>
            <w:r>
              <w:rPr>
                <w:rFonts w:hint="eastAsia" w:ascii="仿宋" w:hAnsi="仿宋" w:eastAsia="仿宋" w:cs="仿宋"/>
                <w:szCs w:val="21"/>
              </w:rPr>
              <w:t>数量</w:t>
            </w:r>
          </w:p>
        </w:tc>
        <w:tc>
          <w:tcPr>
            <w:tcW w:w="1914" w:type="dxa"/>
            <w:vAlign w:val="center"/>
          </w:tcPr>
          <w:p>
            <w:pPr>
              <w:spacing w:line="260" w:lineRule="exact"/>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34" w:type="dxa"/>
            <w:vAlign w:val="center"/>
          </w:tcPr>
          <w:p>
            <w:pPr>
              <w:widowControl/>
              <w:spacing w:line="260" w:lineRule="exact"/>
              <w:jc w:val="center"/>
              <w:textAlignment w:val="bottom"/>
              <w:rPr>
                <w:rFonts w:ascii="仿宋" w:hAnsi="仿宋" w:eastAsia="仿宋" w:cs="仿宋"/>
                <w:kern w:val="0"/>
                <w:szCs w:val="21"/>
              </w:rPr>
            </w:pPr>
            <w:r>
              <w:rPr>
                <w:rFonts w:hint="eastAsia" w:ascii="仿宋" w:hAnsi="仿宋" w:eastAsia="仿宋" w:cs="仿宋"/>
                <w:kern w:val="0"/>
                <w:szCs w:val="21"/>
              </w:rPr>
              <w:t>1</w:t>
            </w:r>
          </w:p>
        </w:tc>
        <w:tc>
          <w:tcPr>
            <w:tcW w:w="333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COD在线分析仪</w:t>
            </w:r>
          </w:p>
        </w:tc>
        <w:tc>
          <w:tcPr>
            <w:tcW w:w="165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台</w:t>
            </w:r>
          </w:p>
        </w:tc>
        <w:tc>
          <w:tcPr>
            <w:tcW w:w="1470" w:type="dxa"/>
            <w:vAlign w:val="center"/>
          </w:tcPr>
          <w:p>
            <w:pPr>
              <w:widowControl/>
              <w:tabs>
                <w:tab w:val="center" w:pos="0"/>
                <w:tab w:val="left" w:pos="153"/>
              </w:tabs>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1</w:t>
            </w:r>
          </w:p>
        </w:tc>
        <w:tc>
          <w:tcPr>
            <w:tcW w:w="1914" w:type="dxa"/>
            <w:vAlign w:val="center"/>
          </w:tcPr>
          <w:p>
            <w:pPr>
              <w:widowControl/>
              <w:spacing w:line="260" w:lineRule="exact"/>
              <w:ind w:right="-107" w:rightChars="-51"/>
              <w:jc w:val="center"/>
              <w:textAlignment w:val="bottom"/>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134" w:type="dxa"/>
            <w:vAlign w:val="center"/>
          </w:tcPr>
          <w:p>
            <w:pPr>
              <w:widowControl/>
              <w:spacing w:line="260" w:lineRule="exact"/>
              <w:jc w:val="center"/>
              <w:textAlignment w:val="bottom"/>
              <w:rPr>
                <w:rFonts w:ascii="仿宋" w:hAnsi="仿宋" w:eastAsia="仿宋" w:cs="仿宋"/>
                <w:kern w:val="0"/>
                <w:szCs w:val="21"/>
              </w:rPr>
            </w:pPr>
            <w:r>
              <w:rPr>
                <w:rFonts w:hint="eastAsia" w:ascii="仿宋" w:hAnsi="仿宋" w:eastAsia="仿宋" w:cs="仿宋"/>
                <w:kern w:val="0"/>
                <w:szCs w:val="21"/>
              </w:rPr>
              <w:t>2</w:t>
            </w:r>
          </w:p>
        </w:tc>
        <w:tc>
          <w:tcPr>
            <w:tcW w:w="333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氨氮在线分析仪</w:t>
            </w:r>
          </w:p>
        </w:tc>
        <w:tc>
          <w:tcPr>
            <w:tcW w:w="165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台</w:t>
            </w:r>
          </w:p>
        </w:tc>
        <w:tc>
          <w:tcPr>
            <w:tcW w:w="1470" w:type="dxa"/>
            <w:vAlign w:val="center"/>
          </w:tcPr>
          <w:p>
            <w:pPr>
              <w:widowControl/>
              <w:tabs>
                <w:tab w:val="center" w:pos="0"/>
                <w:tab w:val="left" w:pos="153"/>
              </w:tabs>
              <w:spacing w:line="260" w:lineRule="exact"/>
              <w:ind w:right="-107" w:rightChars="-51"/>
              <w:jc w:val="center"/>
              <w:textAlignment w:val="bottom"/>
              <w:rPr>
                <w:rFonts w:ascii="仿宋" w:hAnsi="仿宋" w:eastAsia="仿宋" w:cs="仿宋"/>
                <w:bCs/>
                <w:kern w:val="0"/>
                <w:szCs w:val="21"/>
              </w:rPr>
            </w:pPr>
            <w:r>
              <w:rPr>
                <w:rFonts w:hint="eastAsia" w:ascii="仿宋" w:hAnsi="仿宋" w:eastAsia="仿宋" w:cs="仿宋"/>
                <w:kern w:val="0"/>
                <w:szCs w:val="21"/>
              </w:rPr>
              <w:t>1</w:t>
            </w:r>
          </w:p>
        </w:tc>
        <w:tc>
          <w:tcPr>
            <w:tcW w:w="1914" w:type="dxa"/>
            <w:vAlign w:val="center"/>
          </w:tcPr>
          <w:p>
            <w:pPr>
              <w:widowControl/>
              <w:spacing w:line="260" w:lineRule="exact"/>
              <w:ind w:right="-107" w:rightChars="-51"/>
              <w:jc w:val="center"/>
              <w:textAlignment w:val="bottom"/>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34" w:type="dxa"/>
            <w:vAlign w:val="center"/>
          </w:tcPr>
          <w:p>
            <w:pPr>
              <w:widowControl/>
              <w:spacing w:line="260" w:lineRule="exact"/>
              <w:jc w:val="center"/>
              <w:textAlignment w:val="bottom"/>
              <w:rPr>
                <w:rFonts w:ascii="仿宋" w:hAnsi="仿宋" w:eastAsia="仿宋" w:cs="仿宋"/>
                <w:kern w:val="0"/>
                <w:szCs w:val="21"/>
              </w:rPr>
            </w:pPr>
            <w:r>
              <w:rPr>
                <w:rFonts w:hint="eastAsia" w:ascii="仿宋" w:hAnsi="仿宋" w:eastAsia="仿宋" w:cs="仿宋"/>
                <w:kern w:val="0"/>
                <w:szCs w:val="21"/>
              </w:rPr>
              <w:t>3</w:t>
            </w:r>
          </w:p>
        </w:tc>
        <w:tc>
          <w:tcPr>
            <w:tcW w:w="333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PH仪</w:t>
            </w:r>
          </w:p>
        </w:tc>
        <w:tc>
          <w:tcPr>
            <w:tcW w:w="165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台</w:t>
            </w:r>
          </w:p>
        </w:tc>
        <w:tc>
          <w:tcPr>
            <w:tcW w:w="1470" w:type="dxa"/>
            <w:vAlign w:val="center"/>
          </w:tcPr>
          <w:p>
            <w:pPr>
              <w:widowControl/>
              <w:tabs>
                <w:tab w:val="center" w:pos="0"/>
                <w:tab w:val="left" w:pos="153"/>
              </w:tabs>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1</w:t>
            </w:r>
          </w:p>
        </w:tc>
        <w:tc>
          <w:tcPr>
            <w:tcW w:w="1914" w:type="dxa"/>
            <w:vAlign w:val="center"/>
          </w:tcPr>
          <w:p>
            <w:pPr>
              <w:widowControl/>
              <w:spacing w:line="260" w:lineRule="exact"/>
              <w:ind w:right="-107" w:rightChars="-51"/>
              <w:jc w:val="center"/>
              <w:textAlignment w:val="bottom"/>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4" w:type="dxa"/>
            <w:vAlign w:val="center"/>
          </w:tcPr>
          <w:p>
            <w:pPr>
              <w:widowControl/>
              <w:spacing w:line="260" w:lineRule="exact"/>
              <w:textAlignment w:val="bottom"/>
              <w:rPr>
                <w:rFonts w:ascii="仿宋" w:hAnsi="仿宋" w:eastAsia="仿宋" w:cs="仿宋"/>
                <w:kern w:val="0"/>
                <w:szCs w:val="21"/>
              </w:rPr>
            </w:pPr>
            <w:r>
              <w:rPr>
                <w:rFonts w:hint="eastAsia" w:ascii="仿宋" w:hAnsi="仿宋" w:eastAsia="仿宋" w:cs="仿宋"/>
                <w:kern w:val="0"/>
                <w:szCs w:val="21"/>
              </w:rPr>
              <w:t>4</w:t>
            </w:r>
          </w:p>
        </w:tc>
        <w:tc>
          <w:tcPr>
            <w:tcW w:w="333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数采仪</w:t>
            </w:r>
          </w:p>
        </w:tc>
        <w:tc>
          <w:tcPr>
            <w:tcW w:w="165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台</w:t>
            </w:r>
          </w:p>
        </w:tc>
        <w:tc>
          <w:tcPr>
            <w:tcW w:w="1470" w:type="dxa"/>
            <w:vAlign w:val="center"/>
          </w:tcPr>
          <w:p>
            <w:pPr>
              <w:widowControl/>
              <w:tabs>
                <w:tab w:val="center" w:pos="0"/>
                <w:tab w:val="left" w:pos="153"/>
              </w:tabs>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1</w:t>
            </w:r>
          </w:p>
        </w:tc>
        <w:tc>
          <w:tcPr>
            <w:tcW w:w="1914" w:type="dxa"/>
            <w:vAlign w:val="center"/>
          </w:tcPr>
          <w:p>
            <w:pPr>
              <w:widowControl/>
              <w:spacing w:line="260" w:lineRule="exact"/>
              <w:ind w:right="-107" w:rightChars="-51"/>
              <w:jc w:val="center"/>
              <w:textAlignment w:val="bottom"/>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4" w:type="dxa"/>
            <w:vAlign w:val="center"/>
          </w:tcPr>
          <w:p>
            <w:pPr>
              <w:widowControl/>
              <w:spacing w:line="260" w:lineRule="exact"/>
              <w:jc w:val="center"/>
              <w:textAlignment w:val="bottom"/>
              <w:rPr>
                <w:rFonts w:ascii="仿宋" w:hAnsi="仿宋" w:eastAsia="仿宋" w:cs="仿宋"/>
                <w:kern w:val="0"/>
                <w:szCs w:val="21"/>
              </w:rPr>
            </w:pPr>
            <w:r>
              <w:rPr>
                <w:rFonts w:hint="eastAsia" w:ascii="仿宋" w:hAnsi="仿宋" w:eastAsia="仿宋" w:cs="仿宋"/>
                <w:kern w:val="0"/>
                <w:szCs w:val="21"/>
              </w:rPr>
              <w:t>5</w:t>
            </w:r>
          </w:p>
        </w:tc>
        <w:tc>
          <w:tcPr>
            <w:tcW w:w="333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szCs w:val="21"/>
              </w:rPr>
              <w:t>站房翻新</w:t>
            </w:r>
          </w:p>
        </w:tc>
        <w:tc>
          <w:tcPr>
            <w:tcW w:w="165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项</w:t>
            </w:r>
          </w:p>
        </w:tc>
        <w:tc>
          <w:tcPr>
            <w:tcW w:w="1470" w:type="dxa"/>
            <w:vAlign w:val="center"/>
          </w:tcPr>
          <w:p>
            <w:pPr>
              <w:widowControl/>
              <w:tabs>
                <w:tab w:val="center" w:pos="0"/>
                <w:tab w:val="left" w:pos="153"/>
              </w:tabs>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1</w:t>
            </w:r>
          </w:p>
        </w:tc>
        <w:tc>
          <w:tcPr>
            <w:tcW w:w="1914" w:type="dxa"/>
            <w:vAlign w:val="center"/>
          </w:tcPr>
          <w:p>
            <w:pPr>
              <w:widowControl/>
              <w:spacing w:line="260" w:lineRule="exact"/>
              <w:ind w:right="-107" w:rightChars="-51"/>
              <w:jc w:val="center"/>
              <w:textAlignment w:val="bottom"/>
              <w:rPr>
                <w:rFonts w:ascii="仿宋" w:hAnsi="仿宋" w:eastAsia="仿宋" w:cs="仿宋"/>
                <w:szCs w:val="21"/>
              </w:rPr>
            </w:pPr>
            <w:r>
              <w:rPr>
                <w:rFonts w:hint="eastAsia" w:ascii="仿宋" w:hAnsi="仿宋" w:eastAsia="仿宋" w:cs="仿宋"/>
                <w:szCs w:val="21"/>
              </w:rPr>
              <w:t>由供应商自行勘察现场，根据已有站房的现场实际情况改造站房，含房屋装修、洗手台、给排水管路、排风扇、照明、辅材以及数据集成、安装及调试及验收。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4" w:type="dxa"/>
            <w:vAlign w:val="center"/>
          </w:tcPr>
          <w:p>
            <w:pPr>
              <w:widowControl/>
              <w:spacing w:line="260" w:lineRule="exact"/>
              <w:jc w:val="center"/>
              <w:textAlignment w:val="bottom"/>
              <w:rPr>
                <w:rFonts w:ascii="仿宋" w:hAnsi="仿宋" w:eastAsia="仿宋" w:cs="仿宋"/>
                <w:kern w:val="0"/>
                <w:szCs w:val="21"/>
              </w:rPr>
            </w:pPr>
            <w:r>
              <w:rPr>
                <w:rFonts w:hint="eastAsia" w:ascii="仿宋" w:hAnsi="仿宋" w:eastAsia="仿宋" w:cs="仿宋"/>
                <w:kern w:val="0"/>
                <w:szCs w:val="21"/>
              </w:rPr>
              <w:t>6</w:t>
            </w:r>
          </w:p>
        </w:tc>
        <w:tc>
          <w:tcPr>
            <w:tcW w:w="333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安装调试</w:t>
            </w:r>
          </w:p>
        </w:tc>
        <w:tc>
          <w:tcPr>
            <w:tcW w:w="165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项</w:t>
            </w:r>
          </w:p>
        </w:tc>
        <w:tc>
          <w:tcPr>
            <w:tcW w:w="1470" w:type="dxa"/>
            <w:vAlign w:val="center"/>
          </w:tcPr>
          <w:p>
            <w:pPr>
              <w:widowControl/>
              <w:tabs>
                <w:tab w:val="center" w:pos="0"/>
                <w:tab w:val="left" w:pos="153"/>
              </w:tabs>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1</w:t>
            </w:r>
          </w:p>
        </w:tc>
        <w:tc>
          <w:tcPr>
            <w:tcW w:w="1914" w:type="dxa"/>
            <w:vAlign w:val="center"/>
          </w:tcPr>
          <w:p>
            <w:pPr>
              <w:widowControl/>
              <w:spacing w:line="260" w:lineRule="exact"/>
              <w:ind w:right="-107" w:rightChars="-51"/>
              <w:jc w:val="center"/>
              <w:textAlignment w:val="bottom"/>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4" w:type="dxa"/>
            <w:vAlign w:val="center"/>
          </w:tcPr>
          <w:p>
            <w:pPr>
              <w:widowControl/>
              <w:spacing w:line="260" w:lineRule="exact"/>
              <w:jc w:val="center"/>
              <w:textAlignment w:val="bottom"/>
              <w:rPr>
                <w:rFonts w:ascii="仿宋" w:hAnsi="仿宋" w:eastAsia="仿宋" w:cs="仿宋"/>
                <w:kern w:val="0"/>
                <w:szCs w:val="21"/>
              </w:rPr>
            </w:pPr>
            <w:r>
              <w:rPr>
                <w:rFonts w:hint="eastAsia" w:ascii="仿宋" w:hAnsi="仿宋" w:eastAsia="仿宋" w:cs="仿宋"/>
                <w:kern w:val="0"/>
                <w:szCs w:val="21"/>
              </w:rPr>
              <w:t>7</w:t>
            </w:r>
          </w:p>
        </w:tc>
        <w:tc>
          <w:tcPr>
            <w:tcW w:w="333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比对验收</w:t>
            </w:r>
          </w:p>
        </w:tc>
        <w:tc>
          <w:tcPr>
            <w:tcW w:w="165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项</w:t>
            </w:r>
          </w:p>
        </w:tc>
        <w:tc>
          <w:tcPr>
            <w:tcW w:w="1470" w:type="dxa"/>
            <w:vAlign w:val="center"/>
          </w:tcPr>
          <w:p>
            <w:pPr>
              <w:widowControl/>
              <w:tabs>
                <w:tab w:val="center" w:pos="0"/>
                <w:tab w:val="left" w:pos="153"/>
              </w:tabs>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1</w:t>
            </w:r>
          </w:p>
        </w:tc>
        <w:tc>
          <w:tcPr>
            <w:tcW w:w="1914" w:type="dxa"/>
            <w:vAlign w:val="center"/>
          </w:tcPr>
          <w:p>
            <w:pPr>
              <w:widowControl/>
              <w:spacing w:line="260" w:lineRule="exact"/>
              <w:ind w:right="-107" w:rightChars="-51"/>
              <w:jc w:val="center"/>
              <w:textAlignment w:val="bottom"/>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4" w:type="dxa"/>
            <w:vAlign w:val="center"/>
          </w:tcPr>
          <w:p>
            <w:pPr>
              <w:widowControl/>
              <w:spacing w:line="260" w:lineRule="exact"/>
              <w:jc w:val="center"/>
              <w:textAlignment w:val="bottom"/>
              <w:rPr>
                <w:rFonts w:ascii="仿宋" w:hAnsi="仿宋" w:eastAsia="仿宋" w:cs="仿宋"/>
                <w:kern w:val="0"/>
                <w:szCs w:val="21"/>
              </w:rPr>
            </w:pPr>
            <w:r>
              <w:rPr>
                <w:rFonts w:hint="eastAsia" w:ascii="仿宋" w:hAnsi="仿宋" w:eastAsia="仿宋" w:cs="仿宋"/>
                <w:kern w:val="0"/>
                <w:szCs w:val="21"/>
              </w:rPr>
              <w:t>8</w:t>
            </w:r>
          </w:p>
        </w:tc>
        <w:tc>
          <w:tcPr>
            <w:tcW w:w="333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运行维护</w:t>
            </w:r>
          </w:p>
        </w:tc>
        <w:tc>
          <w:tcPr>
            <w:tcW w:w="165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年</w:t>
            </w:r>
          </w:p>
        </w:tc>
        <w:tc>
          <w:tcPr>
            <w:tcW w:w="1470" w:type="dxa"/>
            <w:vAlign w:val="center"/>
          </w:tcPr>
          <w:p>
            <w:pPr>
              <w:widowControl/>
              <w:tabs>
                <w:tab w:val="center" w:pos="0"/>
                <w:tab w:val="left" w:pos="153"/>
              </w:tabs>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1</w:t>
            </w:r>
          </w:p>
        </w:tc>
        <w:tc>
          <w:tcPr>
            <w:tcW w:w="1914" w:type="dxa"/>
            <w:vAlign w:val="center"/>
          </w:tcPr>
          <w:p>
            <w:pPr>
              <w:widowControl/>
              <w:spacing w:line="260" w:lineRule="exact"/>
              <w:ind w:right="-107" w:rightChars="-51"/>
              <w:jc w:val="center"/>
              <w:textAlignment w:val="bottom"/>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4" w:type="dxa"/>
            <w:vAlign w:val="center"/>
          </w:tcPr>
          <w:p>
            <w:pPr>
              <w:widowControl/>
              <w:spacing w:line="260" w:lineRule="exact"/>
              <w:jc w:val="center"/>
              <w:textAlignment w:val="bottom"/>
              <w:rPr>
                <w:rFonts w:ascii="仿宋" w:hAnsi="仿宋" w:eastAsia="仿宋" w:cs="仿宋"/>
                <w:kern w:val="0"/>
                <w:szCs w:val="21"/>
              </w:rPr>
            </w:pPr>
            <w:r>
              <w:rPr>
                <w:rFonts w:hint="eastAsia" w:ascii="仿宋" w:hAnsi="仿宋" w:eastAsia="仿宋" w:cs="仿宋"/>
                <w:kern w:val="0"/>
                <w:szCs w:val="21"/>
              </w:rPr>
              <w:t>9</w:t>
            </w:r>
          </w:p>
        </w:tc>
        <w:tc>
          <w:tcPr>
            <w:tcW w:w="333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流量计移机</w:t>
            </w:r>
          </w:p>
        </w:tc>
        <w:tc>
          <w:tcPr>
            <w:tcW w:w="165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项</w:t>
            </w:r>
          </w:p>
        </w:tc>
        <w:tc>
          <w:tcPr>
            <w:tcW w:w="1470" w:type="dxa"/>
            <w:vAlign w:val="center"/>
          </w:tcPr>
          <w:p>
            <w:pPr>
              <w:widowControl/>
              <w:tabs>
                <w:tab w:val="center" w:pos="0"/>
                <w:tab w:val="left" w:pos="153"/>
              </w:tabs>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1</w:t>
            </w:r>
          </w:p>
        </w:tc>
        <w:tc>
          <w:tcPr>
            <w:tcW w:w="1914" w:type="dxa"/>
            <w:vAlign w:val="center"/>
          </w:tcPr>
          <w:p>
            <w:pPr>
              <w:widowControl/>
              <w:spacing w:line="260" w:lineRule="exact"/>
              <w:ind w:right="-107" w:rightChars="-51"/>
              <w:jc w:val="center"/>
              <w:textAlignment w:val="bottom"/>
              <w:rPr>
                <w:rFonts w:ascii="仿宋" w:hAnsi="仿宋" w:eastAsia="仿宋" w:cs="仿宋"/>
                <w:kern w:val="0"/>
                <w:szCs w:val="21"/>
              </w:rPr>
            </w:pPr>
          </w:p>
        </w:tc>
      </w:tr>
    </w:tbl>
    <w:p>
      <w:pPr>
        <w:rPr>
          <w:lang w:val="zh-CN"/>
        </w:rPr>
      </w:pPr>
    </w:p>
    <w:p>
      <w:pPr>
        <w:rPr>
          <w:rFonts w:ascii="Arial" w:hAnsi="Arial"/>
          <w:b/>
          <w:bCs/>
          <w:sz w:val="28"/>
          <w:szCs w:val="32"/>
          <w:lang w:val="zh-CN"/>
        </w:rPr>
      </w:pPr>
      <w:r>
        <w:rPr>
          <w:rFonts w:hint="eastAsia" w:ascii="仿宋_GB2312" w:hAnsi="仿宋_GB2312" w:cs="仿宋_GB2312"/>
          <w:lang w:eastAsia="zh-CN"/>
        </w:rPr>
        <w:t>※</w:t>
      </w:r>
      <w:r>
        <w:rPr>
          <w:rFonts w:hint="eastAsia" w:ascii="仿宋_GB2312" w:hAnsi="仿宋_GB2312" w:cs="仿宋_GB2312"/>
        </w:rPr>
        <w:t xml:space="preserve"> </w:t>
      </w:r>
      <w:r>
        <w:rPr>
          <w:rFonts w:hint="eastAsia" w:ascii="宋体" w:hAnsi="宋体" w:cs="宋体"/>
          <w:color w:val="000000"/>
          <w:sz w:val="24"/>
          <w:lang w:val="zh-CN"/>
        </w:rPr>
        <w:t>条款不满足，为无效投标。</w:t>
      </w:r>
    </w:p>
    <w:p>
      <w:pPr>
        <w:spacing w:line="276" w:lineRule="auto"/>
        <w:rPr>
          <w:rFonts w:ascii="仿宋" w:hAnsi="仿宋" w:eastAsia="仿宋" w:cs="仿宋"/>
          <w:szCs w:val="21"/>
        </w:rPr>
      </w:pPr>
      <w:bookmarkStart w:id="43" w:name="_Toc45041906"/>
      <w:bookmarkStart w:id="44" w:name="_Hlk22233711"/>
      <w:bookmarkStart w:id="45" w:name="_Toc29543180"/>
      <w:r>
        <w:rPr>
          <w:rFonts w:hint="eastAsia" w:ascii="仿宋_GB2312" w:hAnsi="仿宋_GB2312" w:cs="仿宋_GB2312"/>
        </w:rPr>
        <w:t>★</w:t>
      </w:r>
      <w:r>
        <w:rPr>
          <w:rFonts w:hint="eastAsia" w:ascii="Arial" w:hAnsi="Arial"/>
          <w:b/>
          <w:bCs/>
          <w:sz w:val="28"/>
          <w:szCs w:val="32"/>
          <w:lang w:val="zh-CN"/>
        </w:rPr>
        <w:t>二、</w:t>
      </w:r>
      <w:bookmarkEnd w:id="43"/>
      <w:bookmarkEnd w:id="44"/>
      <w:r>
        <w:rPr>
          <w:rFonts w:hint="eastAsia" w:ascii="Arial" w:hAnsi="Arial"/>
          <w:b/>
          <w:bCs/>
          <w:sz w:val="28"/>
          <w:szCs w:val="32"/>
          <w:lang w:val="zh-CN"/>
        </w:rPr>
        <w:t>项目服务及质量要求</w:t>
      </w:r>
    </w:p>
    <w:p>
      <w:pPr>
        <w:pStyle w:val="265"/>
        <w:spacing w:line="360" w:lineRule="auto"/>
        <w:ind w:firstLineChars="0"/>
        <w:jc w:val="left"/>
        <w:rPr>
          <w:rFonts w:ascii="仿宋" w:hAnsi="仿宋" w:eastAsia="仿宋" w:cs="仿宋"/>
          <w:szCs w:val="21"/>
        </w:rPr>
      </w:pPr>
      <w:r>
        <w:rPr>
          <w:rFonts w:hint="eastAsia" w:ascii="仿宋" w:hAnsi="仿宋" w:eastAsia="仿宋" w:cs="仿宋"/>
          <w:szCs w:val="21"/>
        </w:rPr>
        <w:t>一）项目服务需求</w:t>
      </w:r>
    </w:p>
    <w:p>
      <w:pPr>
        <w:pStyle w:val="265"/>
        <w:spacing w:line="360" w:lineRule="auto"/>
        <w:ind w:firstLineChars="0"/>
        <w:jc w:val="left"/>
        <w:rPr>
          <w:rFonts w:ascii="仿宋" w:hAnsi="仿宋" w:eastAsia="仿宋" w:cs="仿宋"/>
          <w:szCs w:val="21"/>
        </w:rPr>
      </w:pPr>
      <w:r>
        <w:rPr>
          <w:rFonts w:hint="eastAsia" w:ascii="仿宋" w:hAnsi="仿宋" w:eastAsia="仿宋" w:cs="仿宋"/>
          <w:szCs w:val="21"/>
        </w:rPr>
        <w:t>1.投标主要产品COD在线分析仪；氨氮在线分析仪；PH仪；数采仪等产品具有国家环保部门的认证证书及检测报告。</w:t>
      </w:r>
    </w:p>
    <w:p>
      <w:pPr>
        <w:pStyle w:val="265"/>
        <w:spacing w:line="360" w:lineRule="auto"/>
        <w:ind w:firstLineChars="0"/>
        <w:jc w:val="left"/>
        <w:rPr>
          <w:rFonts w:ascii="仿宋" w:hAnsi="仿宋" w:eastAsia="仿宋" w:cs="仿宋"/>
          <w:szCs w:val="21"/>
        </w:rPr>
      </w:pPr>
      <w:r>
        <w:rPr>
          <w:rFonts w:hint="eastAsia" w:ascii="仿宋" w:hAnsi="仿宋" w:eastAsia="仿宋" w:cs="仿宋"/>
          <w:szCs w:val="21"/>
        </w:rPr>
        <w:t>2.为确保污水达标排放，规避环保风险，减少管理负担，提高管理水平，计划在自动监测站站总排口建设在线检测系统，通过设置在线检测分析仪器及</w:t>
      </w:r>
      <w:r>
        <w:rPr>
          <w:rFonts w:hint="eastAsia" w:ascii="仿宋" w:hAnsi="仿宋" w:eastAsia="仿宋" w:cs="仿宋"/>
          <w:szCs w:val="21"/>
          <w:lang w:eastAsia="zh-CN"/>
        </w:rPr>
        <w:t>相</w:t>
      </w:r>
      <w:r>
        <w:rPr>
          <w:rFonts w:hint="eastAsia" w:ascii="仿宋" w:hAnsi="仿宋" w:eastAsia="仿宋" w:cs="仿宋"/>
          <w:szCs w:val="21"/>
        </w:rPr>
        <w:t>应辅助设施，实现排水水质水量的即时自动检测、数据传输和预警功能。</w:t>
      </w:r>
    </w:p>
    <w:p>
      <w:pPr>
        <w:pStyle w:val="265"/>
        <w:spacing w:line="360" w:lineRule="auto"/>
        <w:ind w:firstLineChars="0"/>
        <w:jc w:val="left"/>
        <w:rPr>
          <w:rFonts w:ascii="仿宋" w:hAnsi="仿宋" w:eastAsia="仿宋" w:cs="仿宋"/>
          <w:szCs w:val="21"/>
        </w:rPr>
      </w:pPr>
      <w:r>
        <w:rPr>
          <w:rFonts w:hint="eastAsia" w:ascii="仿宋" w:hAnsi="仿宋" w:eastAsia="仿宋" w:cs="仿宋"/>
          <w:szCs w:val="21"/>
        </w:rPr>
        <w:t>（二）服务技术要求</w:t>
      </w:r>
    </w:p>
    <w:tbl>
      <w:tblPr>
        <w:tblStyle w:val="57"/>
        <w:tblW w:w="8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114"/>
        <w:gridCol w:w="4020"/>
        <w:gridCol w:w="1178"/>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64" w:type="dxa"/>
            <w:vAlign w:val="center"/>
          </w:tcPr>
          <w:p>
            <w:pPr>
              <w:pStyle w:val="262"/>
              <w:ind w:firstLine="0" w:firstLineChars="0"/>
              <w:jc w:val="center"/>
              <w:rPr>
                <w:rFonts w:ascii="仿宋" w:hAnsi="仿宋" w:eastAsia="仿宋" w:cs="仿宋"/>
                <w:b/>
                <w:szCs w:val="21"/>
              </w:rPr>
            </w:pPr>
            <w:bookmarkStart w:id="46" w:name="_Toc565"/>
            <w:r>
              <w:rPr>
                <w:rFonts w:hint="eastAsia" w:ascii="仿宋" w:hAnsi="仿宋" w:eastAsia="仿宋" w:cs="仿宋"/>
                <w:b/>
                <w:szCs w:val="21"/>
              </w:rPr>
              <w:t>序号</w:t>
            </w:r>
          </w:p>
        </w:tc>
        <w:tc>
          <w:tcPr>
            <w:tcW w:w="1114" w:type="dxa"/>
            <w:vAlign w:val="center"/>
          </w:tcPr>
          <w:p>
            <w:pPr>
              <w:pStyle w:val="262"/>
              <w:ind w:firstLine="0" w:firstLineChars="0"/>
              <w:jc w:val="center"/>
              <w:rPr>
                <w:rFonts w:ascii="仿宋" w:hAnsi="仿宋" w:eastAsia="仿宋" w:cs="仿宋"/>
                <w:b/>
                <w:szCs w:val="21"/>
              </w:rPr>
            </w:pPr>
            <w:r>
              <w:rPr>
                <w:rFonts w:hint="eastAsia" w:ascii="仿宋" w:hAnsi="仿宋" w:eastAsia="仿宋" w:cs="仿宋"/>
                <w:b/>
                <w:szCs w:val="21"/>
              </w:rPr>
              <w:t>设备</w:t>
            </w:r>
          </w:p>
          <w:p>
            <w:pPr>
              <w:pStyle w:val="262"/>
              <w:ind w:firstLine="0" w:firstLineChars="0"/>
              <w:jc w:val="center"/>
              <w:rPr>
                <w:rFonts w:ascii="仿宋" w:hAnsi="仿宋" w:eastAsia="仿宋" w:cs="仿宋"/>
                <w:b/>
                <w:szCs w:val="21"/>
              </w:rPr>
            </w:pPr>
            <w:r>
              <w:rPr>
                <w:rFonts w:hint="eastAsia" w:ascii="仿宋" w:hAnsi="仿宋" w:eastAsia="仿宋" w:cs="仿宋"/>
                <w:b/>
                <w:szCs w:val="21"/>
              </w:rPr>
              <w:t>名称</w:t>
            </w:r>
          </w:p>
        </w:tc>
        <w:tc>
          <w:tcPr>
            <w:tcW w:w="4020" w:type="dxa"/>
            <w:vAlign w:val="center"/>
          </w:tcPr>
          <w:p>
            <w:pPr>
              <w:pStyle w:val="262"/>
              <w:ind w:firstLine="0" w:firstLineChars="0"/>
              <w:jc w:val="center"/>
              <w:rPr>
                <w:rFonts w:ascii="仿宋" w:hAnsi="仿宋" w:eastAsia="仿宋" w:cs="仿宋"/>
                <w:b/>
                <w:szCs w:val="21"/>
              </w:rPr>
            </w:pPr>
            <w:r>
              <w:rPr>
                <w:rFonts w:hint="eastAsia" w:ascii="仿宋" w:hAnsi="仿宋" w:eastAsia="仿宋" w:cs="仿宋"/>
                <w:b/>
                <w:szCs w:val="21"/>
              </w:rPr>
              <w:t>技术参数指标要求</w:t>
            </w:r>
          </w:p>
        </w:tc>
        <w:tc>
          <w:tcPr>
            <w:tcW w:w="1178" w:type="dxa"/>
            <w:vAlign w:val="center"/>
          </w:tcPr>
          <w:p>
            <w:pPr>
              <w:pStyle w:val="262"/>
              <w:ind w:firstLine="0" w:firstLineChars="0"/>
              <w:jc w:val="center"/>
              <w:rPr>
                <w:rFonts w:ascii="仿宋" w:hAnsi="仿宋" w:eastAsia="仿宋" w:cs="仿宋"/>
                <w:b/>
                <w:szCs w:val="21"/>
              </w:rPr>
            </w:pPr>
            <w:r>
              <w:rPr>
                <w:rFonts w:hint="eastAsia" w:ascii="仿宋" w:hAnsi="仿宋" w:eastAsia="仿宋" w:cs="仿宋"/>
                <w:b/>
                <w:szCs w:val="21"/>
              </w:rPr>
              <w:t>数量</w:t>
            </w:r>
          </w:p>
        </w:tc>
        <w:tc>
          <w:tcPr>
            <w:tcW w:w="981" w:type="dxa"/>
            <w:vAlign w:val="center"/>
          </w:tcPr>
          <w:p>
            <w:pPr>
              <w:pStyle w:val="262"/>
              <w:ind w:firstLine="0" w:firstLineChars="0"/>
              <w:jc w:val="center"/>
              <w:rPr>
                <w:rFonts w:ascii="仿宋" w:hAnsi="仿宋" w:eastAsia="仿宋" w:cs="仿宋"/>
                <w:b/>
                <w:szCs w:val="21"/>
                <w:lang w:eastAsia="zh-Hans"/>
              </w:rPr>
            </w:pPr>
            <w:r>
              <w:rPr>
                <w:rFonts w:hint="eastAsia" w:ascii="仿宋" w:hAnsi="仿宋" w:eastAsia="仿宋" w:cs="仿宋"/>
                <w:b/>
                <w:szCs w:val="21"/>
                <w:lang w:eastAsia="zh-Han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pStyle w:val="262"/>
              <w:ind w:firstLine="0" w:firstLineChars="0"/>
              <w:jc w:val="center"/>
              <w:rPr>
                <w:rFonts w:ascii="仿宋" w:hAnsi="仿宋" w:eastAsia="仿宋" w:cs="仿宋"/>
                <w:b/>
                <w:szCs w:val="21"/>
              </w:rPr>
            </w:pPr>
            <w:r>
              <w:rPr>
                <w:rFonts w:hint="eastAsia" w:ascii="仿宋" w:hAnsi="仿宋" w:eastAsia="仿宋" w:cs="仿宋"/>
                <w:szCs w:val="21"/>
              </w:rPr>
              <w:t>1</w:t>
            </w:r>
          </w:p>
        </w:tc>
        <w:tc>
          <w:tcPr>
            <w:tcW w:w="1114" w:type="dxa"/>
            <w:vAlign w:val="center"/>
          </w:tcPr>
          <w:p>
            <w:pPr>
              <w:pStyle w:val="262"/>
              <w:ind w:firstLine="0" w:firstLineChars="0"/>
              <w:jc w:val="left"/>
              <w:rPr>
                <w:rFonts w:ascii="仿宋" w:hAnsi="仿宋" w:eastAsia="仿宋" w:cs="仿宋"/>
                <w:b/>
                <w:szCs w:val="21"/>
              </w:rPr>
            </w:pPr>
            <w:r>
              <w:rPr>
                <w:rFonts w:hint="eastAsia" w:ascii="仿宋" w:hAnsi="仿宋" w:eastAsia="仿宋" w:cs="仿宋"/>
                <w:szCs w:val="21"/>
              </w:rPr>
              <w:t>COD分析仪</w:t>
            </w:r>
          </w:p>
        </w:tc>
        <w:tc>
          <w:tcPr>
            <w:tcW w:w="4020" w:type="dxa"/>
          </w:tcPr>
          <w:p>
            <w:pPr>
              <w:pStyle w:val="262"/>
              <w:ind w:firstLine="0" w:firstLineChars="0"/>
              <w:jc w:val="left"/>
              <w:rPr>
                <w:rFonts w:ascii="仿宋" w:hAnsi="仿宋" w:eastAsia="仿宋" w:cs="仿宋"/>
                <w:szCs w:val="21"/>
              </w:rPr>
            </w:pPr>
            <w:r>
              <w:rPr>
                <w:rFonts w:hint="eastAsia" w:ascii="仿宋" w:hAnsi="仿宋" w:eastAsia="仿宋" w:cs="仿宋"/>
                <w:szCs w:val="21"/>
              </w:rPr>
              <w:t>测定原理：重铬酸钾氧化分光光度法</w:t>
            </w:r>
          </w:p>
          <w:p>
            <w:pPr>
              <w:pStyle w:val="262"/>
              <w:ind w:firstLine="0" w:firstLineChars="0"/>
              <w:jc w:val="left"/>
              <w:rPr>
                <w:rFonts w:ascii="仿宋" w:hAnsi="仿宋" w:eastAsia="仿宋" w:cs="仿宋"/>
                <w:szCs w:val="21"/>
              </w:rPr>
            </w:pPr>
            <w:r>
              <w:rPr>
                <w:rFonts w:hint="eastAsia" w:ascii="仿宋" w:hAnsi="仿宋" w:eastAsia="仿宋" w:cs="仿宋"/>
                <w:szCs w:val="21"/>
              </w:rPr>
              <w:t>量程：0-5000mg/L，可扩展</w:t>
            </w:r>
          </w:p>
          <w:p>
            <w:pPr>
              <w:pStyle w:val="262"/>
              <w:ind w:firstLine="0" w:firstLineChars="0"/>
              <w:jc w:val="left"/>
              <w:rPr>
                <w:rFonts w:ascii="仿宋" w:hAnsi="仿宋" w:eastAsia="仿宋" w:cs="仿宋"/>
                <w:szCs w:val="21"/>
              </w:rPr>
            </w:pPr>
            <w:r>
              <w:rPr>
                <w:rFonts w:hint="eastAsia" w:ascii="仿宋" w:hAnsi="仿宋" w:eastAsia="仿宋" w:cs="仿宋"/>
                <w:szCs w:val="21"/>
              </w:rPr>
              <w:t>重复性：≤0.6%</w:t>
            </w:r>
          </w:p>
          <w:p>
            <w:pPr>
              <w:pStyle w:val="262"/>
              <w:ind w:firstLine="0" w:firstLineChars="0"/>
              <w:jc w:val="left"/>
              <w:rPr>
                <w:rFonts w:ascii="仿宋" w:hAnsi="仿宋" w:eastAsia="仿宋" w:cs="仿宋"/>
                <w:szCs w:val="21"/>
              </w:rPr>
            </w:pPr>
            <w:r>
              <w:rPr>
                <w:rFonts w:hint="eastAsia" w:ascii="仿宋" w:hAnsi="仿宋" w:eastAsia="仿宋" w:cs="仿宋"/>
                <w:szCs w:val="21"/>
              </w:rPr>
              <w:t>零点漂移：±1.0mg/L</w:t>
            </w:r>
          </w:p>
          <w:p>
            <w:pPr>
              <w:pStyle w:val="262"/>
              <w:ind w:firstLine="0" w:firstLineChars="0"/>
              <w:jc w:val="left"/>
              <w:rPr>
                <w:rFonts w:ascii="仿宋" w:hAnsi="仿宋" w:eastAsia="仿宋" w:cs="仿宋"/>
                <w:szCs w:val="21"/>
              </w:rPr>
            </w:pPr>
            <w:r>
              <w:rPr>
                <w:rFonts w:hint="eastAsia" w:ascii="仿宋" w:hAnsi="仿宋" w:eastAsia="仿宋" w:cs="仿宋"/>
                <w:szCs w:val="21"/>
              </w:rPr>
              <w:t>量程漂移：±1.5%</w:t>
            </w:r>
          </w:p>
          <w:p>
            <w:pPr>
              <w:pStyle w:val="262"/>
              <w:ind w:firstLine="0" w:firstLineChars="0"/>
              <w:jc w:val="left"/>
              <w:rPr>
                <w:rFonts w:ascii="仿宋" w:hAnsi="仿宋" w:eastAsia="仿宋" w:cs="仿宋"/>
                <w:szCs w:val="21"/>
              </w:rPr>
            </w:pPr>
            <w:r>
              <w:rPr>
                <w:rFonts w:hint="eastAsia" w:ascii="仿宋" w:hAnsi="仿宋" w:eastAsia="仿宋" w:cs="仿宋"/>
                <w:szCs w:val="21"/>
              </w:rPr>
              <w:t>★示值误差：±2.5%</w:t>
            </w:r>
          </w:p>
          <w:p>
            <w:pPr>
              <w:pStyle w:val="262"/>
              <w:ind w:firstLine="0" w:firstLineChars="0"/>
              <w:jc w:val="left"/>
              <w:rPr>
                <w:rFonts w:ascii="仿宋" w:hAnsi="仿宋" w:eastAsia="仿宋" w:cs="仿宋"/>
                <w:szCs w:val="21"/>
              </w:rPr>
            </w:pPr>
            <w:r>
              <w:rPr>
                <w:rFonts w:hint="eastAsia" w:ascii="仿宋" w:hAnsi="仿宋" w:eastAsia="仿宋" w:cs="仿宋"/>
                <w:szCs w:val="21"/>
              </w:rPr>
              <w:t>记忆效应：≤1.2mg/L</w:t>
            </w:r>
          </w:p>
          <w:p>
            <w:pPr>
              <w:pStyle w:val="262"/>
              <w:ind w:firstLine="0" w:firstLineChars="0"/>
              <w:jc w:val="left"/>
              <w:rPr>
                <w:rFonts w:ascii="仿宋" w:hAnsi="仿宋" w:eastAsia="仿宋" w:cs="仿宋"/>
                <w:szCs w:val="21"/>
              </w:rPr>
            </w:pPr>
            <w:r>
              <w:rPr>
                <w:rFonts w:hint="eastAsia" w:ascii="仿宋" w:hAnsi="仿宋" w:eastAsia="仿宋" w:cs="仿宋"/>
                <w:szCs w:val="21"/>
              </w:rPr>
              <w:t>电压干扰试验：± 0.8%</w:t>
            </w:r>
          </w:p>
          <w:p>
            <w:pPr>
              <w:pStyle w:val="262"/>
              <w:ind w:firstLine="0" w:firstLineChars="0"/>
              <w:jc w:val="left"/>
              <w:rPr>
                <w:rFonts w:ascii="仿宋" w:hAnsi="仿宋" w:eastAsia="仿宋" w:cs="仿宋"/>
                <w:szCs w:val="21"/>
              </w:rPr>
            </w:pPr>
            <w:r>
              <w:rPr>
                <w:rFonts w:hint="eastAsia" w:ascii="仿宋" w:hAnsi="仿宋" w:eastAsia="仿宋" w:cs="仿宋"/>
                <w:szCs w:val="21"/>
              </w:rPr>
              <w:t>环境实验温度试验：±2.5%</w:t>
            </w:r>
          </w:p>
          <w:p>
            <w:pPr>
              <w:pStyle w:val="262"/>
              <w:ind w:firstLine="0" w:firstLineChars="0"/>
              <w:jc w:val="left"/>
              <w:rPr>
                <w:rFonts w:ascii="仿宋" w:hAnsi="仿宋" w:eastAsia="仿宋" w:cs="仿宋"/>
                <w:szCs w:val="21"/>
              </w:rPr>
            </w:pPr>
            <w:r>
              <w:rPr>
                <w:rFonts w:hint="eastAsia" w:ascii="仿宋" w:hAnsi="仿宋" w:eastAsia="仿宋" w:cs="仿宋"/>
                <w:szCs w:val="21"/>
              </w:rPr>
              <w:t>★一致性：≤0.4%</w:t>
            </w:r>
          </w:p>
          <w:p>
            <w:pPr>
              <w:pStyle w:val="262"/>
              <w:ind w:firstLine="0" w:firstLineChars="0"/>
              <w:jc w:val="left"/>
              <w:rPr>
                <w:rFonts w:ascii="仿宋" w:hAnsi="仿宋" w:eastAsia="仿宋" w:cs="仿宋"/>
                <w:szCs w:val="21"/>
              </w:rPr>
            </w:pPr>
            <w:r>
              <w:rPr>
                <w:rFonts w:hint="eastAsia" w:ascii="仿宋" w:hAnsi="仿宋" w:eastAsia="仿宋" w:cs="仿宋"/>
                <w:szCs w:val="21"/>
              </w:rPr>
              <w:t>实际水样比对试验：</w:t>
            </w:r>
          </w:p>
          <w:p>
            <w:pPr>
              <w:pStyle w:val="262"/>
              <w:ind w:firstLine="0" w:firstLineChars="0"/>
              <w:jc w:val="left"/>
              <w:rPr>
                <w:rFonts w:ascii="仿宋" w:hAnsi="仿宋" w:eastAsia="仿宋" w:cs="仿宋"/>
                <w:szCs w:val="21"/>
              </w:rPr>
            </w:pPr>
            <w:r>
              <w:rPr>
                <w:rFonts w:hint="eastAsia" w:ascii="仿宋" w:hAnsi="仿宋" w:eastAsia="仿宋" w:cs="仿宋"/>
                <w:szCs w:val="21"/>
              </w:rPr>
              <w:t>水样浓度&lt;50.0 mg/L   ≤4.0mg/L</w:t>
            </w:r>
          </w:p>
          <w:p>
            <w:pPr>
              <w:pStyle w:val="262"/>
              <w:ind w:firstLine="0" w:firstLineChars="0"/>
              <w:jc w:val="left"/>
              <w:rPr>
                <w:rFonts w:ascii="仿宋" w:hAnsi="仿宋" w:eastAsia="仿宋" w:cs="仿宋"/>
                <w:szCs w:val="21"/>
              </w:rPr>
            </w:pPr>
            <w:r>
              <w:rPr>
                <w:rFonts w:hint="eastAsia" w:ascii="仿宋" w:hAnsi="仿宋" w:eastAsia="仿宋" w:cs="仿宋"/>
                <w:szCs w:val="21"/>
              </w:rPr>
              <w:t>水样浓度≥50.0 mg/L   ≤8.0%</w:t>
            </w:r>
          </w:p>
          <w:p>
            <w:pPr>
              <w:pStyle w:val="262"/>
              <w:ind w:firstLine="0" w:firstLineChars="0"/>
              <w:jc w:val="left"/>
              <w:rPr>
                <w:rFonts w:ascii="仿宋" w:hAnsi="仿宋" w:eastAsia="仿宋" w:cs="仿宋"/>
                <w:szCs w:val="21"/>
              </w:rPr>
            </w:pPr>
            <w:r>
              <w:rPr>
                <w:rFonts w:hint="eastAsia" w:ascii="仿宋" w:hAnsi="仿宋" w:eastAsia="仿宋" w:cs="仿宋"/>
                <w:szCs w:val="21"/>
              </w:rPr>
              <w:t>★具有量程自动切换功能、质量控制功能、试剂管控功能、自动进样稀释功能、多测量模式功能、自动校正功能、断电后来电自启动测量功能、试剂余量报警功能、废液自动分离功能、校正曲线的线性相关系数自检功能（提供仪器具有国家级产品质量监督检验部门出具的第三方测试报告）。</w:t>
            </w:r>
          </w:p>
          <w:p>
            <w:pPr>
              <w:pStyle w:val="262"/>
              <w:ind w:firstLine="0" w:firstLineChars="0"/>
              <w:jc w:val="left"/>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eastAsia="zh-CN"/>
              </w:rPr>
              <w:t>制造商</w:t>
            </w:r>
            <w:r>
              <w:rPr>
                <w:rFonts w:hint="eastAsia" w:ascii="仿宋" w:hAnsi="仿宋" w:eastAsia="仿宋" w:cs="仿宋"/>
                <w:szCs w:val="21"/>
              </w:rPr>
              <w:t>具备中国环境保护产品认证证书和检测报告；</w:t>
            </w:r>
          </w:p>
          <w:p>
            <w:pPr>
              <w:pStyle w:val="262"/>
              <w:ind w:firstLine="0" w:firstLineChars="0"/>
              <w:jc w:val="left"/>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eastAsia="zh-CN"/>
              </w:rPr>
              <w:t>制造商</w:t>
            </w:r>
            <w:r>
              <w:rPr>
                <w:rFonts w:hint="eastAsia" w:ascii="仿宋" w:hAnsi="仿宋" w:eastAsia="仿宋" w:cs="仿宋"/>
                <w:szCs w:val="21"/>
              </w:rPr>
              <w:t>具有软件著作权，国家知识产权局专利证书；</w:t>
            </w:r>
          </w:p>
        </w:tc>
        <w:tc>
          <w:tcPr>
            <w:tcW w:w="1178" w:type="dxa"/>
            <w:vAlign w:val="center"/>
          </w:tcPr>
          <w:p>
            <w:pPr>
              <w:pStyle w:val="262"/>
              <w:ind w:firstLine="0" w:firstLineChars="0"/>
              <w:jc w:val="center"/>
              <w:rPr>
                <w:rFonts w:ascii="仿宋" w:hAnsi="仿宋" w:eastAsia="仿宋" w:cs="仿宋"/>
                <w:b/>
                <w:szCs w:val="21"/>
              </w:rPr>
            </w:pPr>
            <w:r>
              <w:rPr>
                <w:rFonts w:ascii="仿宋" w:hAnsi="仿宋" w:eastAsia="仿宋" w:cs="仿宋"/>
                <w:b/>
                <w:szCs w:val="21"/>
              </w:rPr>
              <w:t>1</w:t>
            </w:r>
          </w:p>
        </w:tc>
        <w:tc>
          <w:tcPr>
            <w:tcW w:w="981" w:type="dxa"/>
            <w:vAlign w:val="center"/>
          </w:tcPr>
          <w:p>
            <w:pPr>
              <w:pStyle w:val="262"/>
              <w:ind w:firstLine="0" w:firstLineChars="0"/>
              <w:jc w:val="center"/>
              <w:rPr>
                <w:rFonts w:ascii="仿宋" w:hAnsi="仿宋" w:eastAsia="仿宋" w:cs="仿宋"/>
                <w:b/>
                <w:szCs w:val="21"/>
              </w:rPr>
            </w:pPr>
            <w:r>
              <w:rPr>
                <w:rFonts w:hint="eastAsia" w:ascii="仿宋" w:hAnsi="仿宋" w:eastAsia="仿宋" w:cs="仿宋"/>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5" w:hRule="atLeast"/>
          <w:jc w:val="center"/>
        </w:trPr>
        <w:tc>
          <w:tcPr>
            <w:tcW w:w="764" w:type="dxa"/>
            <w:vAlign w:val="center"/>
          </w:tcPr>
          <w:p>
            <w:pPr>
              <w:pStyle w:val="262"/>
              <w:ind w:firstLine="0" w:firstLineChars="0"/>
              <w:jc w:val="center"/>
              <w:rPr>
                <w:rFonts w:ascii="仿宋" w:hAnsi="仿宋" w:eastAsia="仿宋" w:cs="仿宋"/>
                <w:b/>
                <w:szCs w:val="21"/>
              </w:rPr>
            </w:pPr>
            <w:r>
              <w:rPr>
                <w:rFonts w:hint="eastAsia" w:ascii="仿宋" w:hAnsi="仿宋" w:eastAsia="仿宋" w:cs="仿宋"/>
                <w:szCs w:val="21"/>
              </w:rPr>
              <w:t>2</w:t>
            </w:r>
          </w:p>
        </w:tc>
        <w:tc>
          <w:tcPr>
            <w:tcW w:w="1114" w:type="dxa"/>
            <w:vAlign w:val="center"/>
          </w:tcPr>
          <w:p>
            <w:pPr>
              <w:pStyle w:val="262"/>
              <w:ind w:firstLine="0" w:firstLineChars="0"/>
              <w:jc w:val="center"/>
              <w:rPr>
                <w:rFonts w:ascii="仿宋" w:hAnsi="仿宋" w:eastAsia="仿宋" w:cs="仿宋"/>
                <w:b/>
                <w:szCs w:val="21"/>
              </w:rPr>
            </w:pPr>
            <w:r>
              <w:rPr>
                <w:rFonts w:hint="eastAsia" w:ascii="仿宋" w:hAnsi="仿宋" w:eastAsia="仿宋" w:cs="仿宋"/>
                <w:szCs w:val="21"/>
              </w:rPr>
              <w:t>氨氮分析仪</w:t>
            </w:r>
          </w:p>
        </w:tc>
        <w:tc>
          <w:tcPr>
            <w:tcW w:w="4020" w:type="dxa"/>
          </w:tcPr>
          <w:p>
            <w:pPr>
              <w:pStyle w:val="262"/>
              <w:ind w:firstLine="0" w:firstLineChars="0"/>
              <w:jc w:val="left"/>
              <w:rPr>
                <w:rFonts w:ascii="仿宋" w:hAnsi="仿宋" w:eastAsia="仿宋" w:cs="仿宋"/>
                <w:szCs w:val="21"/>
              </w:rPr>
            </w:pPr>
            <w:r>
              <w:rPr>
                <w:rFonts w:hint="eastAsia" w:ascii="仿宋" w:hAnsi="仿宋" w:eastAsia="仿宋" w:cs="仿宋"/>
                <w:szCs w:val="21"/>
              </w:rPr>
              <w:t>测定原理：水杨酸分光光度法</w:t>
            </w:r>
          </w:p>
          <w:p>
            <w:pPr>
              <w:pStyle w:val="262"/>
              <w:ind w:firstLine="0" w:firstLineChars="0"/>
              <w:jc w:val="left"/>
              <w:rPr>
                <w:rFonts w:ascii="仿宋" w:hAnsi="仿宋" w:eastAsia="仿宋" w:cs="仿宋"/>
                <w:szCs w:val="21"/>
              </w:rPr>
            </w:pPr>
            <w:r>
              <w:rPr>
                <w:rFonts w:hint="eastAsia" w:ascii="仿宋" w:hAnsi="仿宋" w:eastAsia="仿宋" w:cs="仿宋"/>
                <w:szCs w:val="21"/>
              </w:rPr>
              <w:t>量程：0-5/20/100mg/L，量程可扩展</w:t>
            </w:r>
          </w:p>
          <w:p>
            <w:pPr>
              <w:pStyle w:val="262"/>
              <w:ind w:firstLine="0" w:firstLineChars="0"/>
              <w:jc w:val="left"/>
              <w:rPr>
                <w:rFonts w:ascii="仿宋" w:hAnsi="仿宋" w:eastAsia="仿宋" w:cs="仿宋"/>
                <w:szCs w:val="21"/>
              </w:rPr>
            </w:pPr>
            <w:r>
              <w:rPr>
                <w:rFonts w:hint="eastAsia" w:ascii="仿宋" w:hAnsi="仿宋" w:eastAsia="仿宋" w:cs="仿宋"/>
                <w:szCs w:val="21"/>
              </w:rPr>
              <w:t>★重复性：≤0.4%</w:t>
            </w:r>
          </w:p>
          <w:p>
            <w:pPr>
              <w:pStyle w:val="262"/>
              <w:ind w:firstLine="0" w:firstLineChars="0"/>
              <w:jc w:val="left"/>
              <w:rPr>
                <w:rFonts w:ascii="仿宋" w:hAnsi="仿宋" w:eastAsia="仿宋" w:cs="仿宋"/>
                <w:szCs w:val="21"/>
              </w:rPr>
            </w:pPr>
            <w:r>
              <w:rPr>
                <w:rFonts w:hint="eastAsia" w:ascii="仿宋" w:hAnsi="仿宋" w:eastAsia="仿宋" w:cs="仿宋"/>
                <w:szCs w:val="21"/>
              </w:rPr>
              <w:t>★零点漂移：±0.003mg/L</w:t>
            </w:r>
          </w:p>
          <w:p>
            <w:pPr>
              <w:pStyle w:val="262"/>
              <w:ind w:firstLine="0" w:firstLineChars="0"/>
              <w:jc w:val="left"/>
              <w:rPr>
                <w:rFonts w:ascii="仿宋" w:hAnsi="仿宋" w:eastAsia="仿宋" w:cs="仿宋"/>
                <w:szCs w:val="21"/>
              </w:rPr>
            </w:pPr>
            <w:r>
              <w:rPr>
                <w:rFonts w:hint="eastAsia" w:ascii="仿宋" w:hAnsi="仿宋" w:eastAsia="仿宋" w:cs="仿宋"/>
                <w:szCs w:val="21"/>
              </w:rPr>
              <w:t>量程漂移：≤0.5%</w:t>
            </w:r>
          </w:p>
          <w:p>
            <w:pPr>
              <w:pStyle w:val="262"/>
              <w:ind w:firstLine="0" w:firstLineChars="0"/>
              <w:jc w:val="left"/>
              <w:rPr>
                <w:rFonts w:ascii="仿宋" w:hAnsi="仿宋" w:eastAsia="仿宋" w:cs="仿宋"/>
                <w:szCs w:val="21"/>
              </w:rPr>
            </w:pPr>
            <w:r>
              <w:rPr>
                <w:rFonts w:hint="eastAsia" w:ascii="仿宋" w:hAnsi="仿宋" w:eastAsia="仿宋" w:cs="仿宋"/>
                <w:szCs w:val="21"/>
              </w:rPr>
              <w:t>示值误差：</w:t>
            </w:r>
          </w:p>
          <w:p>
            <w:pPr>
              <w:pStyle w:val="262"/>
              <w:ind w:firstLine="0" w:firstLineChars="0"/>
              <w:jc w:val="left"/>
              <w:rPr>
                <w:rFonts w:ascii="仿宋" w:hAnsi="仿宋" w:eastAsia="仿宋" w:cs="仿宋"/>
                <w:szCs w:val="21"/>
              </w:rPr>
            </w:pPr>
            <w:r>
              <w:rPr>
                <w:rFonts w:hint="eastAsia" w:ascii="仿宋" w:hAnsi="仿宋" w:eastAsia="仿宋" w:cs="仿宋"/>
                <w:szCs w:val="21"/>
              </w:rPr>
              <w:t>标液浓度为2.0 mg/L时± 3.3%</w:t>
            </w:r>
          </w:p>
          <w:p>
            <w:pPr>
              <w:pStyle w:val="262"/>
              <w:ind w:firstLine="0" w:firstLineChars="0"/>
              <w:jc w:val="left"/>
              <w:rPr>
                <w:rFonts w:ascii="仿宋" w:hAnsi="仿宋" w:eastAsia="仿宋" w:cs="仿宋"/>
                <w:szCs w:val="21"/>
              </w:rPr>
            </w:pPr>
            <w:r>
              <w:rPr>
                <w:rFonts w:hint="eastAsia" w:ascii="仿宋" w:hAnsi="仿宋" w:eastAsia="仿宋" w:cs="仿宋"/>
                <w:szCs w:val="21"/>
              </w:rPr>
              <w:t>标液浓度为5.0 mg/L时± 1.1%</w:t>
            </w:r>
          </w:p>
          <w:p>
            <w:pPr>
              <w:pStyle w:val="262"/>
              <w:ind w:firstLine="0" w:firstLineChars="0"/>
              <w:jc w:val="left"/>
              <w:rPr>
                <w:rFonts w:ascii="仿宋" w:hAnsi="仿宋" w:eastAsia="仿宋" w:cs="仿宋"/>
                <w:szCs w:val="21"/>
              </w:rPr>
            </w:pPr>
            <w:r>
              <w:rPr>
                <w:rFonts w:hint="eastAsia" w:ascii="仿宋" w:hAnsi="仿宋" w:eastAsia="仿宋" w:cs="仿宋"/>
                <w:szCs w:val="21"/>
              </w:rPr>
              <w:t>标液浓度为8.0 mg/L时± 0.8%</w:t>
            </w:r>
          </w:p>
          <w:p>
            <w:pPr>
              <w:pStyle w:val="262"/>
              <w:ind w:firstLine="0" w:firstLineChars="0"/>
              <w:jc w:val="left"/>
              <w:rPr>
                <w:rFonts w:ascii="仿宋" w:hAnsi="仿宋" w:eastAsia="仿宋" w:cs="仿宋"/>
                <w:szCs w:val="21"/>
              </w:rPr>
            </w:pPr>
            <w:r>
              <w:rPr>
                <w:rFonts w:hint="eastAsia" w:ascii="仿宋" w:hAnsi="仿宋" w:eastAsia="仿宋" w:cs="仿宋"/>
                <w:szCs w:val="21"/>
              </w:rPr>
              <w:t>记忆效应：</w:t>
            </w:r>
          </w:p>
          <w:p>
            <w:pPr>
              <w:pStyle w:val="262"/>
              <w:ind w:firstLine="0" w:firstLineChars="0"/>
              <w:jc w:val="left"/>
              <w:rPr>
                <w:rFonts w:ascii="仿宋" w:hAnsi="仿宋" w:eastAsia="仿宋" w:cs="仿宋"/>
                <w:szCs w:val="21"/>
              </w:rPr>
            </w:pPr>
            <w:r>
              <w:rPr>
                <w:rFonts w:hint="eastAsia" w:ascii="仿宋" w:hAnsi="仿宋" w:eastAsia="仿宋" w:cs="仿宋"/>
                <w:szCs w:val="21"/>
              </w:rPr>
              <w:t>标液浓度为2.0 mg/L时± 0.01mg/L</w:t>
            </w:r>
          </w:p>
          <w:p>
            <w:pPr>
              <w:pStyle w:val="262"/>
              <w:ind w:firstLine="0" w:firstLineChars="0"/>
              <w:jc w:val="left"/>
              <w:rPr>
                <w:rFonts w:ascii="仿宋" w:hAnsi="仿宋" w:eastAsia="仿宋" w:cs="仿宋"/>
                <w:szCs w:val="21"/>
              </w:rPr>
            </w:pPr>
            <w:r>
              <w:rPr>
                <w:rFonts w:hint="eastAsia" w:ascii="仿宋" w:hAnsi="仿宋" w:eastAsia="仿宋" w:cs="仿宋"/>
                <w:szCs w:val="21"/>
              </w:rPr>
              <w:t>标液浓度为8.0 mg/L时±0.09mg/L</w:t>
            </w:r>
          </w:p>
          <w:p>
            <w:pPr>
              <w:pStyle w:val="262"/>
              <w:ind w:firstLine="0" w:firstLineChars="0"/>
              <w:jc w:val="left"/>
              <w:rPr>
                <w:rFonts w:ascii="仿宋" w:hAnsi="仿宋" w:eastAsia="仿宋" w:cs="仿宋"/>
                <w:szCs w:val="21"/>
              </w:rPr>
            </w:pPr>
            <w:r>
              <w:rPr>
                <w:rFonts w:hint="eastAsia" w:ascii="仿宋" w:hAnsi="仿宋" w:eastAsia="仿宋" w:cs="仿宋"/>
                <w:szCs w:val="21"/>
              </w:rPr>
              <w:t>电压干扰：± 0.6%</w:t>
            </w:r>
          </w:p>
          <w:p>
            <w:pPr>
              <w:pStyle w:val="262"/>
              <w:ind w:firstLine="0" w:firstLineChars="0"/>
              <w:jc w:val="left"/>
              <w:rPr>
                <w:rFonts w:ascii="仿宋" w:hAnsi="仿宋" w:eastAsia="仿宋" w:cs="仿宋"/>
                <w:szCs w:val="21"/>
              </w:rPr>
            </w:pPr>
            <w:r>
              <w:rPr>
                <w:rFonts w:hint="eastAsia" w:ascii="仿宋" w:hAnsi="仿宋" w:eastAsia="仿宋" w:cs="仿宋"/>
                <w:szCs w:val="21"/>
              </w:rPr>
              <w:t>★pH干扰试验：± 1.3%</w:t>
            </w:r>
          </w:p>
          <w:p>
            <w:pPr>
              <w:pStyle w:val="262"/>
              <w:ind w:firstLine="0" w:firstLineChars="0"/>
              <w:jc w:val="left"/>
              <w:rPr>
                <w:rFonts w:ascii="仿宋" w:hAnsi="仿宋" w:eastAsia="仿宋" w:cs="仿宋"/>
                <w:szCs w:val="21"/>
              </w:rPr>
            </w:pPr>
            <w:r>
              <w:rPr>
                <w:rFonts w:hint="eastAsia" w:ascii="仿宋" w:hAnsi="仿宋" w:eastAsia="仿宋" w:cs="仿宋"/>
                <w:szCs w:val="21"/>
              </w:rPr>
              <w:t>环境温度实验：± 1.4%</w:t>
            </w:r>
          </w:p>
          <w:p>
            <w:pPr>
              <w:pStyle w:val="262"/>
              <w:ind w:firstLine="0" w:firstLineChars="0"/>
              <w:jc w:val="left"/>
              <w:rPr>
                <w:rFonts w:ascii="仿宋" w:hAnsi="仿宋" w:eastAsia="仿宋" w:cs="仿宋"/>
                <w:szCs w:val="21"/>
              </w:rPr>
            </w:pPr>
            <w:r>
              <w:rPr>
                <w:rFonts w:hint="eastAsia" w:ascii="仿宋" w:hAnsi="仿宋" w:eastAsia="仿宋" w:cs="仿宋"/>
                <w:szCs w:val="21"/>
              </w:rPr>
              <w:t>实际水样比对试验：</w:t>
            </w:r>
          </w:p>
          <w:p>
            <w:pPr>
              <w:pStyle w:val="262"/>
              <w:ind w:firstLine="0" w:firstLineChars="0"/>
              <w:jc w:val="left"/>
              <w:rPr>
                <w:rFonts w:ascii="仿宋" w:hAnsi="仿宋" w:eastAsia="仿宋" w:cs="仿宋"/>
                <w:szCs w:val="21"/>
              </w:rPr>
            </w:pPr>
            <w:r>
              <w:rPr>
                <w:rFonts w:hint="eastAsia" w:ascii="仿宋" w:hAnsi="仿宋" w:eastAsia="仿宋" w:cs="仿宋"/>
                <w:szCs w:val="21"/>
              </w:rPr>
              <w:t>水样浓度&lt;2.0 mg/L   ≤0.01 mg/L</w:t>
            </w:r>
          </w:p>
          <w:p>
            <w:pPr>
              <w:pStyle w:val="262"/>
              <w:ind w:firstLine="0" w:firstLineChars="0"/>
              <w:jc w:val="left"/>
              <w:rPr>
                <w:rFonts w:ascii="仿宋" w:hAnsi="仿宋" w:eastAsia="仿宋" w:cs="仿宋"/>
                <w:szCs w:val="21"/>
              </w:rPr>
            </w:pPr>
            <w:r>
              <w:rPr>
                <w:rFonts w:hint="eastAsia" w:ascii="仿宋" w:hAnsi="仿宋" w:eastAsia="仿宋" w:cs="仿宋"/>
                <w:szCs w:val="21"/>
              </w:rPr>
              <w:t>水样浓度≥2.0 mg/L   ≤2.4%</w:t>
            </w:r>
          </w:p>
          <w:p>
            <w:pPr>
              <w:pStyle w:val="262"/>
              <w:ind w:firstLine="0" w:firstLineChars="0"/>
              <w:jc w:val="left"/>
              <w:rPr>
                <w:rFonts w:ascii="仿宋" w:hAnsi="仿宋" w:eastAsia="仿宋" w:cs="仿宋"/>
                <w:szCs w:val="21"/>
              </w:rPr>
            </w:pPr>
            <w:r>
              <w:rPr>
                <w:rFonts w:hint="eastAsia" w:ascii="仿宋" w:hAnsi="仿宋" w:eastAsia="仿宋" w:cs="仿宋"/>
                <w:szCs w:val="21"/>
              </w:rPr>
              <w:t>一致性：≤0.8%</w:t>
            </w:r>
          </w:p>
          <w:p>
            <w:pPr>
              <w:pStyle w:val="262"/>
              <w:ind w:firstLine="0" w:firstLineChars="0"/>
              <w:jc w:val="left"/>
              <w:rPr>
                <w:rFonts w:ascii="仿宋" w:hAnsi="仿宋" w:eastAsia="仿宋" w:cs="仿宋"/>
                <w:szCs w:val="21"/>
              </w:rPr>
            </w:pPr>
            <w:r>
              <w:rPr>
                <w:rFonts w:hint="eastAsia" w:ascii="仿宋" w:hAnsi="仿宋" w:eastAsia="仿宋" w:cs="仿宋"/>
                <w:szCs w:val="21"/>
              </w:rPr>
              <w:t>★数据有效率：≥97%</w:t>
            </w:r>
          </w:p>
          <w:p>
            <w:pPr>
              <w:pStyle w:val="262"/>
              <w:ind w:firstLine="0" w:firstLineChars="0"/>
              <w:jc w:val="left"/>
              <w:rPr>
                <w:rFonts w:ascii="仿宋" w:hAnsi="仿宋" w:eastAsia="仿宋" w:cs="仿宋"/>
                <w:szCs w:val="21"/>
              </w:rPr>
            </w:pPr>
            <w:r>
              <w:rPr>
                <w:rFonts w:hint="eastAsia" w:ascii="仿宋" w:hAnsi="仿宋" w:eastAsia="仿宋" w:cs="仿宋"/>
                <w:szCs w:val="21"/>
              </w:rPr>
              <w:t>★具有自动24小时（1次/小时）的零点和量程漂移测量功能、光电漂移补偿功能、光谱自动寻峰校准功能、有限值报警和报警信号输出功能、量程自动切换功能、质量控制功能、试剂管控功能、自动进样稀释功能、多测量模式功能、自动校正功能、断电后来电自启动测量功能、试剂余量报警功能、废液自动分离功能、校正曲线的线性相关系数自检功能（提供仪器具有国家级产品质量监督检验部门出具的第三方测试报告）。</w:t>
            </w:r>
          </w:p>
          <w:p>
            <w:pPr>
              <w:pStyle w:val="262"/>
              <w:ind w:firstLine="0" w:firstLineChars="0"/>
              <w:jc w:val="left"/>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eastAsia="zh-CN"/>
              </w:rPr>
              <w:t>制造商</w:t>
            </w:r>
            <w:r>
              <w:rPr>
                <w:rFonts w:hint="eastAsia" w:ascii="仿宋" w:hAnsi="仿宋" w:eastAsia="仿宋" w:cs="仿宋"/>
                <w:szCs w:val="21"/>
              </w:rPr>
              <w:t>具备中国环境保护产品认证证书和检测报告；</w:t>
            </w:r>
          </w:p>
          <w:p>
            <w:pPr>
              <w:pStyle w:val="262"/>
              <w:ind w:firstLine="0" w:firstLineChars="0"/>
              <w:jc w:val="left"/>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eastAsia="zh-CN"/>
              </w:rPr>
              <w:t>制造商</w:t>
            </w:r>
            <w:r>
              <w:rPr>
                <w:rFonts w:hint="eastAsia" w:ascii="仿宋" w:hAnsi="仿宋" w:eastAsia="仿宋" w:cs="仿宋"/>
                <w:szCs w:val="21"/>
              </w:rPr>
              <w:t>具有软件著作权，国家知识产权局专利证书；</w:t>
            </w:r>
          </w:p>
          <w:p>
            <w:pPr>
              <w:pStyle w:val="262"/>
              <w:ind w:firstLine="0" w:firstLineChars="0"/>
              <w:jc w:val="left"/>
              <w:rPr>
                <w:rFonts w:ascii="仿宋" w:hAnsi="仿宋" w:eastAsia="仿宋" w:cs="仿宋"/>
                <w:b/>
                <w:szCs w:val="21"/>
              </w:rPr>
            </w:pPr>
          </w:p>
        </w:tc>
        <w:tc>
          <w:tcPr>
            <w:tcW w:w="1178" w:type="dxa"/>
            <w:vAlign w:val="center"/>
          </w:tcPr>
          <w:p>
            <w:pPr>
              <w:pStyle w:val="262"/>
              <w:ind w:firstLine="0" w:firstLineChars="0"/>
              <w:jc w:val="center"/>
              <w:rPr>
                <w:rFonts w:ascii="仿宋" w:hAnsi="仿宋" w:eastAsia="仿宋" w:cs="仿宋"/>
                <w:b/>
                <w:szCs w:val="21"/>
              </w:rPr>
            </w:pPr>
            <w:r>
              <w:rPr>
                <w:rFonts w:ascii="仿宋" w:hAnsi="仿宋" w:eastAsia="仿宋" w:cs="仿宋"/>
                <w:b/>
                <w:szCs w:val="21"/>
              </w:rPr>
              <w:t>1</w:t>
            </w:r>
          </w:p>
        </w:tc>
        <w:tc>
          <w:tcPr>
            <w:tcW w:w="981" w:type="dxa"/>
            <w:vAlign w:val="center"/>
          </w:tcPr>
          <w:p>
            <w:pPr>
              <w:pStyle w:val="262"/>
              <w:ind w:firstLine="0" w:firstLineChars="0"/>
              <w:jc w:val="center"/>
              <w:rPr>
                <w:rFonts w:ascii="仿宋" w:hAnsi="仿宋" w:eastAsia="仿宋" w:cs="仿宋"/>
                <w:b/>
                <w:szCs w:val="21"/>
              </w:rPr>
            </w:pPr>
            <w:r>
              <w:rPr>
                <w:rFonts w:hint="eastAsia" w:ascii="仿宋" w:hAnsi="仿宋" w:eastAsia="仿宋" w:cs="仿宋"/>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764" w:type="dxa"/>
            <w:vAlign w:val="center"/>
          </w:tcPr>
          <w:p>
            <w:pPr>
              <w:pStyle w:val="262"/>
              <w:ind w:firstLine="0" w:firstLineChars="0"/>
              <w:jc w:val="center"/>
              <w:rPr>
                <w:rFonts w:ascii="仿宋" w:hAnsi="仿宋" w:eastAsia="仿宋" w:cs="仿宋"/>
                <w:b/>
                <w:szCs w:val="21"/>
              </w:rPr>
            </w:pPr>
            <w:r>
              <w:rPr>
                <w:rFonts w:hint="eastAsia" w:ascii="仿宋" w:hAnsi="仿宋" w:eastAsia="仿宋" w:cs="仿宋"/>
                <w:szCs w:val="21"/>
              </w:rPr>
              <w:t>3</w:t>
            </w:r>
          </w:p>
        </w:tc>
        <w:tc>
          <w:tcPr>
            <w:tcW w:w="1114" w:type="dxa"/>
            <w:vAlign w:val="center"/>
          </w:tcPr>
          <w:p>
            <w:pPr>
              <w:pStyle w:val="262"/>
              <w:ind w:firstLine="0" w:firstLineChars="0"/>
              <w:jc w:val="center"/>
              <w:rPr>
                <w:rFonts w:ascii="仿宋" w:hAnsi="仿宋" w:eastAsia="仿宋" w:cs="仿宋"/>
                <w:b/>
                <w:szCs w:val="21"/>
              </w:rPr>
            </w:pPr>
            <w:r>
              <w:rPr>
                <w:rFonts w:hint="eastAsia" w:ascii="仿宋" w:hAnsi="仿宋" w:eastAsia="仿宋" w:cs="仿宋"/>
                <w:szCs w:val="21"/>
              </w:rPr>
              <w:t>pH在线分析仪</w:t>
            </w:r>
          </w:p>
        </w:tc>
        <w:tc>
          <w:tcPr>
            <w:tcW w:w="4020" w:type="dxa"/>
          </w:tcPr>
          <w:p>
            <w:pPr>
              <w:snapToGrid w:val="0"/>
              <w:jc w:val="left"/>
              <w:rPr>
                <w:rFonts w:ascii="仿宋" w:hAnsi="仿宋" w:eastAsia="仿宋" w:cs="仿宋"/>
                <w:szCs w:val="21"/>
                <w:lang w:val="zh-CN"/>
              </w:rPr>
            </w:pPr>
            <w:r>
              <w:rPr>
                <w:rFonts w:hint="eastAsia" w:ascii="仿宋" w:hAnsi="仿宋" w:eastAsia="仿宋" w:cs="仿宋"/>
                <w:szCs w:val="21"/>
                <w:lang w:val="zh-CN"/>
              </w:rPr>
              <w:t>(1)测量原理：玻璃电极测量法；</w:t>
            </w:r>
          </w:p>
          <w:p>
            <w:pPr>
              <w:snapToGrid w:val="0"/>
              <w:jc w:val="left"/>
              <w:rPr>
                <w:rFonts w:ascii="仿宋" w:hAnsi="仿宋" w:eastAsia="仿宋" w:cs="仿宋"/>
                <w:szCs w:val="21"/>
                <w:lang w:val="zh-CN"/>
              </w:rPr>
            </w:pPr>
            <w:r>
              <w:rPr>
                <w:rFonts w:hint="eastAsia" w:ascii="仿宋" w:hAnsi="仿宋" w:eastAsia="仿宋" w:cs="仿宋"/>
                <w:szCs w:val="21"/>
                <w:lang w:val="zh-CN"/>
              </w:rPr>
              <w:t>(2)测量范围：pH：0.00-14.00pH；</w:t>
            </w:r>
          </w:p>
          <w:p>
            <w:pPr>
              <w:snapToGrid w:val="0"/>
              <w:jc w:val="left"/>
              <w:rPr>
                <w:rFonts w:ascii="仿宋" w:hAnsi="仿宋" w:eastAsia="仿宋" w:cs="仿宋"/>
                <w:szCs w:val="21"/>
                <w:lang w:val="zh-CN"/>
              </w:rPr>
            </w:pPr>
            <w:r>
              <w:rPr>
                <w:rFonts w:hint="eastAsia" w:ascii="仿宋" w:hAnsi="仿宋" w:eastAsia="仿宋" w:cs="仿宋"/>
                <w:szCs w:val="21"/>
                <w:lang w:val="zh-CN"/>
              </w:rPr>
              <w:t>(3)温度：-5.0℃-105℃；</w:t>
            </w:r>
          </w:p>
          <w:p>
            <w:pPr>
              <w:snapToGrid w:val="0"/>
              <w:jc w:val="left"/>
              <w:rPr>
                <w:rFonts w:ascii="仿宋" w:hAnsi="仿宋" w:eastAsia="仿宋" w:cs="仿宋"/>
                <w:szCs w:val="21"/>
                <w:lang w:val="zh-CN"/>
              </w:rPr>
            </w:pPr>
            <w:r>
              <w:rPr>
                <w:rFonts w:hint="eastAsia" w:ascii="仿宋" w:hAnsi="仿宋" w:eastAsia="仿宋" w:cs="仿宋"/>
                <w:szCs w:val="21"/>
                <w:lang w:val="zh-CN"/>
              </w:rPr>
              <w:t>★(4)精度：0.01级；±0.2℃；</w:t>
            </w:r>
          </w:p>
          <w:p>
            <w:pPr>
              <w:pStyle w:val="262"/>
              <w:numPr>
                <w:ilvl w:val="0"/>
                <w:numId w:val="1"/>
              </w:numPr>
              <w:ind w:firstLine="0" w:firstLineChars="0"/>
              <w:jc w:val="left"/>
              <w:rPr>
                <w:rFonts w:ascii="仿宋" w:hAnsi="仿宋" w:eastAsia="仿宋" w:cs="仿宋"/>
                <w:szCs w:val="21"/>
                <w:lang w:val="zh-CN"/>
              </w:rPr>
            </w:pPr>
            <w:r>
              <w:rPr>
                <w:rFonts w:hint="eastAsia" w:ascii="仿宋" w:hAnsi="仿宋" w:eastAsia="仿宋" w:cs="仿宋"/>
                <w:szCs w:val="21"/>
                <w:lang w:val="zh-CN"/>
              </w:rPr>
              <w:t>自动温度补偿防护等级：IP65。</w:t>
            </w:r>
          </w:p>
          <w:p>
            <w:pPr>
              <w:pStyle w:val="262"/>
              <w:numPr>
                <w:ilvl w:val="0"/>
                <w:numId w:val="1"/>
              </w:numPr>
              <w:ind w:firstLine="0" w:firstLineChars="0"/>
              <w:jc w:val="left"/>
              <w:rPr>
                <w:rFonts w:ascii="仿宋" w:hAnsi="仿宋" w:eastAsia="仿宋" w:cs="仿宋"/>
                <w:szCs w:val="21"/>
              </w:rPr>
            </w:pPr>
            <w:r>
              <w:rPr>
                <w:rFonts w:hint="eastAsia" w:ascii="仿宋" w:hAnsi="仿宋" w:eastAsia="仿宋" w:cs="仿宋"/>
                <w:szCs w:val="21"/>
              </w:rPr>
              <w:t>其他指标应符合及满足《pH水质自动分析仪技术要求》HJ/T96-2003。</w:t>
            </w:r>
          </w:p>
        </w:tc>
        <w:tc>
          <w:tcPr>
            <w:tcW w:w="1178" w:type="dxa"/>
            <w:vAlign w:val="center"/>
          </w:tcPr>
          <w:p>
            <w:pPr>
              <w:pStyle w:val="262"/>
              <w:ind w:firstLine="0" w:firstLineChars="0"/>
              <w:jc w:val="center"/>
              <w:rPr>
                <w:rFonts w:ascii="仿宋" w:hAnsi="仿宋" w:eastAsia="仿宋" w:cs="仿宋"/>
                <w:b/>
                <w:szCs w:val="21"/>
              </w:rPr>
            </w:pPr>
            <w:r>
              <w:rPr>
                <w:rFonts w:ascii="仿宋" w:hAnsi="仿宋" w:eastAsia="仿宋" w:cs="仿宋"/>
                <w:b/>
                <w:szCs w:val="21"/>
              </w:rPr>
              <w:t>1</w:t>
            </w:r>
          </w:p>
        </w:tc>
        <w:tc>
          <w:tcPr>
            <w:tcW w:w="981" w:type="dxa"/>
            <w:vAlign w:val="center"/>
          </w:tcPr>
          <w:p>
            <w:pPr>
              <w:pStyle w:val="262"/>
              <w:ind w:firstLine="0" w:firstLineChars="0"/>
              <w:jc w:val="center"/>
              <w:rPr>
                <w:rFonts w:ascii="仿宋" w:hAnsi="仿宋" w:eastAsia="仿宋" w:cs="仿宋"/>
                <w:b/>
                <w:szCs w:val="21"/>
              </w:rPr>
            </w:pPr>
            <w:r>
              <w:rPr>
                <w:rFonts w:hint="eastAsia" w:ascii="仿宋" w:hAnsi="仿宋" w:eastAsia="仿宋" w:cs="仿宋"/>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764" w:type="dxa"/>
            <w:vAlign w:val="center"/>
          </w:tcPr>
          <w:p>
            <w:pPr>
              <w:pStyle w:val="262"/>
              <w:ind w:firstLine="0" w:firstLineChars="0"/>
              <w:jc w:val="center"/>
              <w:rPr>
                <w:rFonts w:ascii="仿宋" w:hAnsi="仿宋" w:eastAsia="仿宋" w:cs="仿宋"/>
                <w:bCs/>
                <w:szCs w:val="21"/>
              </w:rPr>
            </w:pPr>
            <w:r>
              <w:rPr>
                <w:rFonts w:ascii="仿宋" w:hAnsi="仿宋" w:eastAsia="仿宋" w:cs="仿宋"/>
                <w:bCs/>
                <w:szCs w:val="21"/>
              </w:rPr>
              <w:t>4</w:t>
            </w:r>
          </w:p>
        </w:tc>
        <w:tc>
          <w:tcPr>
            <w:tcW w:w="1114" w:type="dxa"/>
            <w:vAlign w:val="center"/>
          </w:tcPr>
          <w:p>
            <w:pPr>
              <w:pStyle w:val="262"/>
              <w:ind w:firstLine="0" w:firstLineChars="0"/>
              <w:jc w:val="center"/>
              <w:rPr>
                <w:rFonts w:ascii="仿宋" w:hAnsi="仿宋" w:eastAsia="仿宋" w:cs="仿宋"/>
                <w:bCs/>
                <w:szCs w:val="21"/>
              </w:rPr>
            </w:pPr>
            <w:r>
              <w:rPr>
                <w:rFonts w:hint="eastAsia" w:ascii="仿宋" w:hAnsi="仿宋" w:eastAsia="仿宋" w:cs="仿宋"/>
                <w:bCs/>
                <w:szCs w:val="21"/>
              </w:rPr>
              <w:t>数据采集仪</w:t>
            </w:r>
          </w:p>
        </w:tc>
        <w:tc>
          <w:tcPr>
            <w:tcW w:w="4020" w:type="dxa"/>
          </w:tcPr>
          <w:p>
            <w:pPr>
              <w:pStyle w:val="22"/>
              <w:spacing w:line="360" w:lineRule="auto"/>
              <w:rPr>
                <w:rFonts w:hint="eastAsia" w:ascii="仿宋" w:hAnsi="仿宋" w:eastAsia="仿宋" w:cs="仿宋"/>
                <w:bCs/>
                <w:sz w:val="21"/>
                <w:szCs w:val="21"/>
              </w:rPr>
            </w:pPr>
            <w:r>
              <w:rPr>
                <w:rFonts w:hint="eastAsia" w:ascii="仿宋" w:hAnsi="仿宋" w:eastAsia="仿宋" w:cs="仿宋"/>
                <w:bCs/>
                <w:sz w:val="21"/>
                <w:szCs w:val="21"/>
              </w:rPr>
              <w:t>★</w:t>
            </w:r>
            <w:r>
              <w:rPr>
                <w:rFonts w:hint="eastAsia" w:ascii="仿宋" w:hAnsi="仿宋" w:eastAsia="仿宋" w:cs="仿宋"/>
                <w:bCs/>
                <w:sz w:val="21"/>
                <w:szCs w:val="21"/>
                <w:lang w:eastAsia="zh-CN"/>
              </w:rPr>
              <w:t>制造商</w:t>
            </w:r>
            <w:r>
              <w:rPr>
                <w:rFonts w:hint="eastAsia" w:ascii="仿宋" w:hAnsi="仿宋" w:eastAsia="仿宋" w:cs="仿宋"/>
                <w:bCs/>
                <w:sz w:val="21"/>
                <w:szCs w:val="21"/>
              </w:rPr>
              <w:t>具备有效的中国环境保护产品认证证书和检测报告；</w:t>
            </w:r>
          </w:p>
          <w:p>
            <w:pPr>
              <w:pStyle w:val="22"/>
              <w:spacing w:line="360" w:lineRule="auto"/>
              <w:rPr>
                <w:rFonts w:hint="eastAsia" w:ascii="仿宋" w:hAnsi="仿宋" w:eastAsia="仿宋" w:cs="仿宋"/>
                <w:bCs/>
                <w:sz w:val="21"/>
                <w:szCs w:val="21"/>
              </w:rPr>
            </w:pPr>
            <w:r>
              <w:rPr>
                <w:rFonts w:hint="eastAsia" w:ascii="仿宋" w:hAnsi="仿宋" w:eastAsia="仿宋" w:cs="仿宋"/>
                <w:bCs/>
                <w:sz w:val="21"/>
                <w:szCs w:val="21"/>
              </w:rPr>
              <w:t>★</w:t>
            </w:r>
            <w:r>
              <w:rPr>
                <w:rFonts w:hint="eastAsia" w:ascii="仿宋" w:hAnsi="仿宋" w:eastAsia="仿宋" w:cs="仿宋"/>
                <w:bCs/>
                <w:sz w:val="21"/>
                <w:szCs w:val="21"/>
                <w:lang w:eastAsia="zh-CN"/>
              </w:rPr>
              <w:t>制造商</w:t>
            </w:r>
            <w:r>
              <w:rPr>
                <w:rFonts w:hint="eastAsia" w:ascii="仿宋" w:hAnsi="仿宋" w:eastAsia="仿宋" w:cs="仿宋"/>
                <w:bCs/>
                <w:sz w:val="21"/>
                <w:szCs w:val="21"/>
              </w:rPr>
              <w:t>具有软件著作权；</w:t>
            </w:r>
          </w:p>
          <w:p>
            <w:pPr>
              <w:pStyle w:val="22"/>
              <w:spacing w:line="360" w:lineRule="auto"/>
              <w:rPr>
                <w:rFonts w:ascii="仿宋" w:hAnsi="仿宋" w:eastAsia="仿宋" w:cs="仿宋"/>
                <w:bCs/>
                <w:sz w:val="21"/>
                <w:szCs w:val="21"/>
              </w:rPr>
            </w:pPr>
            <w:r>
              <w:rPr>
                <w:rFonts w:hint="eastAsia" w:ascii="仿宋" w:hAnsi="仿宋" w:eastAsia="仿宋" w:cs="仿宋"/>
                <w:bCs/>
                <w:sz w:val="21"/>
                <w:szCs w:val="21"/>
              </w:rPr>
              <w:t>★具备一点多传功能，支持同时给多个数据中心(≥4个)上报数据，且保证各中心的数据一致性（以省级及以上计量院出具的检测报告或国家技术监督部门出具的型批证书为准）。</w:t>
            </w:r>
          </w:p>
          <w:p>
            <w:pPr>
              <w:pStyle w:val="22"/>
              <w:spacing w:line="360" w:lineRule="auto"/>
              <w:rPr>
                <w:rFonts w:ascii="仿宋" w:hAnsi="仿宋" w:eastAsia="仿宋" w:cs="仿宋"/>
                <w:bCs/>
                <w:sz w:val="21"/>
                <w:szCs w:val="21"/>
              </w:rPr>
            </w:pPr>
            <w:r>
              <w:rPr>
                <w:rFonts w:hint="eastAsia" w:ascii="仿宋" w:hAnsi="仿宋" w:eastAsia="仿宋" w:cs="仿宋"/>
                <w:bCs/>
                <w:sz w:val="21"/>
                <w:szCs w:val="21"/>
              </w:rPr>
              <w:t>★</w:t>
            </w:r>
            <w:r>
              <w:rPr>
                <w:rFonts w:hint="eastAsia" w:ascii="仿宋" w:hAnsi="仿宋" w:eastAsia="仿宋" w:cs="仿宋"/>
                <w:bCs/>
                <w:sz w:val="21"/>
                <w:szCs w:val="21"/>
                <w:lang w:eastAsia="zh-CN"/>
              </w:rPr>
              <w:t>制造商</w:t>
            </w:r>
            <w:r>
              <w:rPr>
                <w:rFonts w:hint="eastAsia" w:ascii="仿宋" w:hAnsi="仿宋" w:eastAsia="仿宋" w:cs="仿宋"/>
                <w:bCs/>
                <w:sz w:val="21"/>
                <w:szCs w:val="21"/>
              </w:rPr>
              <w:t>取得省级企业技术中心，具有软件能力成熟度模型集成CMMI（三级），ITSS信息技术服务运行维护标准符合性证书（叁级）。</w:t>
            </w:r>
          </w:p>
          <w:p>
            <w:pPr>
              <w:pStyle w:val="22"/>
              <w:spacing w:line="360" w:lineRule="auto"/>
              <w:rPr>
                <w:rFonts w:ascii="仿宋" w:hAnsi="仿宋" w:eastAsia="仿宋" w:cs="仿宋"/>
                <w:bCs/>
                <w:sz w:val="21"/>
                <w:szCs w:val="21"/>
              </w:rPr>
            </w:pPr>
            <w:r>
              <w:rPr>
                <w:rFonts w:ascii="仿宋" w:hAnsi="仿宋" w:eastAsia="仿宋" w:cs="仿宋"/>
                <w:bCs/>
                <w:sz w:val="21"/>
                <w:szCs w:val="21"/>
              </w:rPr>
              <w:t>（1）</w:t>
            </w:r>
            <w:r>
              <w:rPr>
                <w:rFonts w:hint="eastAsia" w:ascii="仿宋" w:hAnsi="仿宋" w:eastAsia="仿宋" w:cs="仿宋"/>
                <w:bCs/>
                <w:sz w:val="21"/>
                <w:szCs w:val="21"/>
              </w:rPr>
              <w:t>通信协议、方式：支持HJ/T212通信协议与DNP3通信协议；应具备通讯接口：RS232、RS485。通讯协议：支持Modbus通讯协议及非标协议。与监控中心的通讯：通讯接口：TCP/IP接口，支持有线和无线通讯。通讯协议：符合HJ 212-2017（HJ/T 212-2005）标准要求。远程维护：数据采集传输仪可以采用远程操作的方式完成其配置，组态，调试和诊断功能；通讯安全性：数据采集传输仪可嵌入防火墙保护软件(Firewall)，具有IP地址过滤功能，防止病毒和非法用户侵袭。可以对网络通讯设置密码保护，有效验证后建立连接。</w:t>
            </w:r>
          </w:p>
          <w:p>
            <w:pPr>
              <w:pStyle w:val="262"/>
              <w:spacing w:line="360" w:lineRule="auto"/>
              <w:ind w:firstLine="0" w:firstLineChars="0"/>
              <w:jc w:val="left"/>
              <w:rPr>
                <w:rFonts w:ascii="仿宋" w:hAnsi="仿宋" w:eastAsia="仿宋" w:cs="仿宋"/>
                <w:bCs/>
                <w:szCs w:val="21"/>
              </w:rPr>
            </w:pPr>
            <w:r>
              <w:rPr>
                <w:rFonts w:hint="eastAsia" w:ascii="仿宋" w:hAnsi="仿宋" w:eastAsia="仿宋" w:cs="仿宋"/>
                <w:bCs/>
                <w:szCs w:val="21"/>
                <w:lang w:eastAsia="zh-Hans"/>
              </w:rPr>
              <w:t>(2)</w:t>
            </w:r>
            <w:r>
              <w:rPr>
                <w:rFonts w:hint="eastAsia" w:ascii="仿宋" w:hAnsi="仿宋" w:eastAsia="仿宋" w:cs="仿宋"/>
                <w:bCs/>
                <w:szCs w:val="21"/>
              </w:rPr>
              <w:t>★数据采集误差：≤0.5‰；系统时钟计时误差：≤±0.05‰；存储容量：&gt;14400条；平均无故障时间MTBF：&gt;1440 小时；绝缘阻抗:＞20MΩ。</w:t>
            </w:r>
          </w:p>
        </w:tc>
        <w:tc>
          <w:tcPr>
            <w:tcW w:w="1178" w:type="dxa"/>
            <w:vAlign w:val="center"/>
          </w:tcPr>
          <w:p>
            <w:pPr>
              <w:pStyle w:val="262"/>
              <w:ind w:firstLine="0" w:firstLineChars="0"/>
              <w:jc w:val="center"/>
              <w:rPr>
                <w:rFonts w:ascii="仿宋" w:hAnsi="仿宋" w:eastAsia="仿宋" w:cs="仿宋"/>
                <w:b/>
                <w:szCs w:val="21"/>
              </w:rPr>
            </w:pPr>
            <w:r>
              <w:rPr>
                <w:rFonts w:ascii="仿宋" w:hAnsi="仿宋" w:eastAsia="仿宋" w:cs="仿宋"/>
                <w:b/>
                <w:szCs w:val="21"/>
              </w:rPr>
              <w:t>1</w:t>
            </w:r>
          </w:p>
        </w:tc>
        <w:tc>
          <w:tcPr>
            <w:tcW w:w="981" w:type="dxa"/>
            <w:vAlign w:val="center"/>
          </w:tcPr>
          <w:p>
            <w:pPr>
              <w:pStyle w:val="262"/>
              <w:ind w:firstLine="0" w:firstLineChars="0"/>
              <w:jc w:val="center"/>
              <w:rPr>
                <w:rFonts w:ascii="仿宋" w:hAnsi="仿宋" w:eastAsia="仿宋" w:cs="仿宋"/>
                <w:b/>
                <w:szCs w:val="21"/>
              </w:rPr>
            </w:pPr>
            <w:r>
              <w:rPr>
                <w:rFonts w:hint="eastAsia" w:ascii="仿宋" w:hAnsi="仿宋" w:eastAsia="仿宋" w:cs="仿宋"/>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0" w:hRule="atLeast"/>
          <w:jc w:val="center"/>
        </w:trPr>
        <w:tc>
          <w:tcPr>
            <w:tcW w:w="764" w:type="dxa"/>
            <w:vAlign w:val="center"/>
          </w:tcPr>
          <w:p>
            <w:pPr>
              <w:pStyle w:val="262"/>
              <w:ind w:firstLine="0" w:firstLineChars="0"/>
              <w:jc w:val="center"/>
              <w:rPr>
                <w:rFonts w:ascii="仿宋" w:hAnsi="仿宋" w:eastAsia="仿宋" w:cs="仿宋"/>
                <w:bCs/>
                <w:szCs w:val="21"/>
              </w:rPr>
            </w:pPr>
            <w:r>
              <w:rPr>
                <w:rFonts w:ascii="仿宋" w:hAnsi="仿宋" w:eastAsia="仿宋" w:cs="仿宋"/>
                <w:bCs/>
                <w:szCs w:val="21"/>
              </w:rPr>
              <w:t>5</w:t>
            </w:r>
          </w:p>
        </w:tc>
        <w:tc>
          <w:tcPr>
            <w:tcW w:w="1114" w:type="dxa"/>
            <w:vAlign w:val="center"/>
          </w:tcPr>
          <w:p>
            <w:pPr>
              <w:pStyle w:val="262"/>
              <w:ind w:firstLine="0" w:firstLineChars="0"/>
              <w:jc w:val="center"/>
              <w:rPr>
                <w:rFonts w:ascii="仿宋" w:hAnsi="仿宋" w:eastAsia="仿宋" w:cs="仿宋"/>
                <w:bCs/>
                <w:szCs w:val="21"/>
              </w:rPr>
            </w:pPr>
            <w:r>
              <w:rPr>
                <w:rFonts w:hint="eastAsia" w:ascii="仿宋" w:hAnsi="仿宋" w:eastAsia="仿宋" w:cs="仿宋"/>
                <w:bCs/>
                <w:szCs w:val="21"/>
              </w:rPr>
              <w:t>站房翻新</w:t>
            </w:r>
          </w:p>
        </w:tc>
        <w:tc>
          <w:tcPr>
            <w:tcW w:w="4020" w:type="dxa"/>
            <w:vAlign w:val="center"/>
          </w:tcPr>
          <w:p>
            <w:pPr>
              <w:pStyle w:val="262"/>
              <w:ind w:firstLine="0" w:firstLineChars="0"/>
              <w:jc w:val="center"/>
              <w:rPr>
                <w:rFonts w:ascii="仿宋" w:hAnsi="仿宋" w:eastAsia="仿宋" w:cs="仿宋"/>
                <w:bCs/>
                <w:szCs w:val="21"/>
              </w:rPr>
            </w:pPr>
            <w:r>
              <w:rPr>
                <w:rFonts w:hint="eastAsia" w:ascii="仿宋" w:hAnsi="仿宋" w:eastAsia="仿宋" w:cs="仿宋"/>
                <w:bCs/>
                <w:szCs w:val="21"/>
              </w:rPr>
              <w:t>将原有站房进行翻新，达到环保在线监站房规范要求，具体规范参照HJ 353-2019；</w:t>
            </w:r>
          </w:p>
          <w:p>
            <w:pPr>
              <w:pStyle w:val="262"/>
              <w:ind w:firstLine="0" w:firstLineChars="0"/>
              <w:rPr>
                <w:rFonts w:ascii="仿宋" w:hAnsi="仿宋" w:eastAsia="仿宋" w:cs="仿宋"/>
                <w:bCs/>
                <w:szCs w:val="21"/>
              </w:rPr>
            </w:pPr>
            <w:r>
              <w:rPr>
                <w:rFonts w:hint="eastAsia" w:ascii="仿宋" w:hAnsi="仿宋" w:eastAsia="仿宋" w:cs="仿宋"/>
                <w:bCs/>
                <w:szCs w:val="21"/>
              </w:rPr>
              <w:t>包括但不限于：</w:t>
            </w:r>
          </w:p>
          <w:p>
            <w:pPr>
              <w:pStyle w:val="262"/>
              <w:numPr>
                <w:ilvl w:val="0"/>
                <w:numId w:val="2"/>
              </w:numPr>
              <w:ind w:firstLine="0" w:firstLineChars="0"/>
              <w:rPr>
                <w:rFonts w:ascii="仿宋" w:hAnsi="仿宋" w:eastAsia="仿宋" w:cs="仿宋"/>
                <w:bCs/>
                <w:szCs w:val="21"/>
              </w:rPr>
            </w:pPr>
            <w:r>
              <w:rPr>
                <w:rFonts w:hint="eastAsia" w:ascii="仿宋" w:hAnsi="仿宋" w:eastAsia="仿宋" w:cs="仿宋"/>
                <w:bCs/>
                <w:szCs w:val="21"/>
              </w:rPr>
              <w:t>地面贴砖，屋面做好防水；</w:t>
            </w:r>
          </w:p>
          <w:p>
            <w:pPr>
              <w:pStyle w:val="262"/>
              <w:numPr>
                <w:ilvl w:val="0"/>
                <w:numId w:val="2"/>
              </w:numPr>
              <w:ind w:firstLine="0" w:firstLineChars="0"/>
              <w:rPr>
                <w:rFonts w:ascii="仿宋" w:hAnsi="仿宋" w:eastAsia="仿宋" w:cs="仿宋"/>
                <w:bCs/>
                <w:szCs w:val="21"/>
              </w:rPr>
            </w:pPr>
            <w:r>
              <w:rPr>
                <w:rFonts w:hint="eastAsia" w:ascii="仿宋" w:hAnsi="仿宋" w:eastAsia="仿宋" w:cs="仿宋"/>
                <w:bCs/>
                <w:szCs w:val="21"/>
              </w:rPr>
              <w:t>房间内工业垃圾及建筑垃圾等清理干净；</w:t>
            </w:r>
          </w:p>
          <w:p>
            <w:pPr>
              <w:pStyle w:val="262"/>
              <w:numPr>
                <w:ilvl w:val="0"/>
                <w:numId w:val="2"/>
              </w:numPr>
              <w:ind w:firstLine="0" w:firstLineChars="0"/>
              <w:rPr>
                <w:rFonts w:ascii="仿宋" w:hAnsi="仿宋" w:eastAsia="仿宋" w:cs="仿宋"/>
                <w:bCs/>
                <w:szCs w:val="21"/>
              </w:rPr>
            </w:pPr>
            <w:r>
              <w:rPr>
                <w:rFonts w:hint="eastAsia" w:ascii="仿宋" w:hAnsi="仿宋" w:eastAsia="仿宋" w:cs="仿宋"/>
                <w:bCs/>
                <w:szCs w:val="21"/>
              </w:rPr>
              <w:t>配置足够的插座、开关及照明；办公桌椅、排气扇等；</w:t>
            </w:r>
          </w:p>
          <w:p>
            <w:pPr>
              <w:pStyle w:val="262"/>
              <w:numPr>
                <w:ilvl w:val="0"/>
                <w:numId w:val="2"/>
              </w:numPr>
              <w:ind w:firstLine="0" w:firstLineChars="0"/>
              <w:rPr>
                <w:rFonts w:ascii="仿宋" w:hAnsi="仿宋" w:eastAsia="仿宋" w:cs="仿宋"/>
                <w:bCs/>
                <w:szCs w:val="21"/>
              </w:rPr>
            </w:pPr>
            <w:r>
              <w:rPr>
                <w:rFonts w:hint="eastAsia" w:ascii="仿宋" w:hAnsi="仿宋" w:eastAsia="仿宋" w:cs="仿宋"/>
                <w:bCs/>
                <w:szCs w:val="21"/>
              </w:rPr>
              <w:t>负责站房内的所有强电、弱电及线路线槽等。</w:t>
            </w:r>
          </w:p>
          <w:p>
            <w:pPr>
              <w:pStyle w:val="262"/>
              <w:numPr>
                <w:ilvl w:val="0"/>
                <w:numId w:val="2"/>
              </w:numPr>
              <w:ind w:firstLine="0" w:firstLineChars="0"/>
              <w:rPr>
                <w:rFonts w:ascii="仿宋" w:hAnsi="仿宋" w:eastAsia="仿宋" w:cs="仿宋"/>
                <w:bCs/>
                <w:szCs w:val="21"/>
              </w:rPr>
            </w:pPr>
            <w:r>
              <w:rPr>
                <w:rFonts w:hint="eastAsia" w:ascii="仿宋" w:hAnsi="仿宋" w:eastAsia="仿宋" w:cs="仿宋"/>
                <w:bCs/>
                <w:szCs w:val="21"/>
              </w:rPr>
              <w:t>负责流量计的设备搬迁。</w:t>
            </w:r>
          </w:p>
          <w:p>
            <w:pPr>
              <w:pStyle w:val="262"/>
              <w:numPr>
                <w:ilvl w:val="0"/>
                <w:numId w:val="2"/>
              </w:numPr>
              <w:ind w:firstLine="0" w:firstLineChars="0"/>
              <w:rPr>
                <w:rFonts w:ascii="仿宋" w:hAnsi="仿宋" w:eastAsia="仿宋" w:cs="仿宋"/>
                <w:bCs/>
                <w:szCs w:val="21"/>
              </w:rPr>
            </w:pPr>
            <w:r>
              <w:rPr>
                <w:rFonts w:hint="eastAsia" w:ascii="仿宋" w:hAnsi="仿宋" w:eastAsia="仿宋" w:cs="仿宋"/>
                <w:bCs/>
                <w:szCs w:val="21"/>
              </w:rPr>
              <w:t>房间刷白，吊顶。</w:t>
            </w:r>
          </w:p>
          <w:p>
            <w:pPr>
              <w:pStyle w:val="262"/>
              <w:numPr>
                <w:ilvl w:val="0"/>
                <w:numId w:val="2"/>
              </w:numPr>
              <w:ind w:firstLine="0" w:firstLineChars="0"/>
              <w:rPr>
                <w:rFonts w:ascii="仿宋" w:hAnsi="仿宋" w:eastAsia="仿宋" w:cs="仿宋"/>
                <w:bCs/>
                <w:szCs w:val="21"/>
              </w:rPr>
            </w:pPr>
            <w:r>
              <w:rPr>
                <w:rFonts w:hint="eastAsia" w:ascii="仿宋" w:hAnsi="仿宋" w:eastAsia="仿宋" w:cs="仿宋"/>
                <w:bCs/>
                <w:szCs w:val="21"/>
              </w:rPr>
              <w:t>招标方提供房间内的空调。</w:t>
            </w:r>
          </w:p>
        </w:tc>
        <w:tc>
          <w:tcPr>
            <w:tcW w:w="1178" w:type="dxa"/>
            <w:vAlign w:val="center"/>
          </w:tcPr>
          <w:p>
            <w:pPr>
              <w:pStyle w:val="262"/>
              <w:ind w:firstLine="0" w:firstLineChars="0"/>
              <w:jc w:val="center"/>
              <w:rPr>
                <w:rFonts w:ascii="仿宋" w:hAnsi="仿宋" w:eastAsia="仿宋" w:cs="仿宋"/>
                <w:b/>
                <w:szCs w:val="21"/>
              </w:rPr>
            </w:pPr>
            <w:r>
              <w:rPr>
                <w:rFonts w:ascii="仿宋" w:hAnsi="仿宋" w:eastAsia="仿宋" w:cs="仿宋"/>
                <w:b/>
                <w:szCs w:val="21"/>
              </w:rPr>
              <w:t>1</w:t>
            </w:r>
          </w:p>
        </w:tc>
        <w:tc>
          <w:tcPr>
            <w:tcW w:w="981" w:type="dxa"/>
            <w:vAlign w:val="center"/>
          </w:tcPr>
          <w:p>
            <w:pPr>
              <w:pStyle w:val="262"/>
              <w:ind w:firstLine="0" w:firstLineChars="0"/>
              <w:jc w:val="center"/>
              <w:rPr>
                <w:rFonts w:ascii="仿宋" w:hAnsi="仿宋" w:eastAsia="仿宋" w:cs="仿宋"/>
                <w:b/>
                <w:szCs w:val="21"/>
              </w:rPr>
            </w:pPr>
            <w:r>
              <w:rPr>
                <w:rFonts w:hint="eastAsia" w:ascii="仿宋" w:hAnsi="仿宋" w:eastAsia="仿宋" w:cs="仿宋"/>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764" w:type="dxa"/>
            <w:vAlign w:val="center"/>
          </w:tcPr>
          <w:p>
            <w:pPr>
              <w:pStyle w:val="262"/>
              <w:ind w:firstLine="0" w:firstLineChars="0"/>
              <w:jc w:val="center"/>
              <w:rPr>
                <w:rFonts w:ascii="仿宋" w:hAnsi="仿宋" w:eastAsia="仿宋" w:cs="仿宋"/>
                <w:bCs/>
                <w:szCs w:val="21"/>
              </w:rPr>
            </w:pPr>
            <w:r>
              <w:rPr>
                <w:rFonts w:ascii="仿宋" w:hAnsi="仿宋" w:eastAsia="仿宋" w:cs="仿宋"/>
                <w:bCs/>
                <w:szCs w:val="21"/>
              </w:rPr>
              <w:t>6</w:t>
            </w:r>
          </w:p>
        </w:tc>
        <w:tc>
          <w:tcPr>
            <w:tcW w:w="1114" w:type="dxa"/>
            <w:vAlign w:val="center"/>
          </w:tcPr>
          <w:p>
            <w:pPr>
              <w:pStyle w:val="262"/>
              <w:ind w:firstLine="0" w:firstLineChars="0"/>
              <w:jc w:val="center"/>
              <w:rPr>
                <w:rFonts w:ascii="仿宋" w:hAnsi="仿宋" w:eastAsia="仿宋" w:cs="仿宋"/>
                <w:bCs/>
                <w:szCs w:val="21"/>
              </w:rPr>
            </w:pPr>
            <w:r>
              <w:rPr>
                <w:rFonts w:hint="eastAsia" w:ascii="仿宋" w:hAnsi="仿宋" w:eastAsia="仿宋" w:cs="仿宋"/>
                <w:bCs/>
                <w:szCs w:val="21"/>
              </w:rPr>
              <w:t>安装调试</w:t>
            </w:r>
          </w:p>
        </w:tc>
        <w:tc>
          <w:tcPr>
            <w:tcW w:w="4020" w:type="dxa"/>
            <w:vAlign w:val="center"/>
          </w:tcPr>
          <w:p>
            <w:pPr>
              <w:pStyle w:val="262"/>
              <w:ind w:firstLine="0" w:firstLineChars="0"/>
              <w:jc w:val="left"/>
              <w:rPr>
                <w:rFonts w:ascii="仿宋" w:hAnsi="仿宋" w:eastAsia="仿宋" w:cs="仿宋"/>
                <w:bCs/>
                <w:szCs w:val="21"/>
              </w:rPr>
            </w:pPr>
            <w:r>
              <w:rPr>
                <w:rFonts w:hint="eastAsia" w:ascii="仿宋" w:hAnsi="仿宋" w:eastAsia="仿宋" w:cs="仿宋"/>
                <w:bCs/>
                <w:szCs w:val="21"/>
              </w:rPr>
              <w:t>完成在线监测设备设施的安装调试，达到环保在线监测设备安装要求，具体规范参照HJ 353-2019；</w:t>
            </w:r>
          </w:p>
          <w:p>
            <w:pPr>
              <w:pStyle w:val="262"/>
              <w:ind w:firstLine="0" w:firstLineChars="0"/>
              <w:rPr>
                <w:rFonts w:ascii="仿宋" w:hAnsi="仿宋" w:eastAsia="仿宋" w:cs="仿宋"/>
                <w:bCs/>
                <w:szCs w:val="21"/>
              </w:rPr>
            </w:pPr>
          </w:p>
          <w:p>
            <w:pPr>
              <w:pStyle w:val="262"/>
              <w:ind w:firstLine="0" w:firstLineChars="0"/>
              <w:rPr>
                <w:rFonts w:ascii="仿宋" w:hAnsi="仿宋" w:eastAsia="仿宋" w:cs="仿宋"/>
                <w:bCs/>
                <w:szCs w:val="21"/>
              </w:rPr>
            </w:pPr>
            <w:r>
              <w:rPr>
                <w:rFonts w:hint="eastAsia" w:ascii="仿宋" w:hAnsi="仿宋" w:eastAsia="仿宋" w:cs="仿宋"/>
                <w:bCs/>
                <w:szCs w:val="21"/>
              </w:rPr>
              <w:t>包括但不限于：</w:t>
            </w:r>
          </w:p>
          <w:p>
            <w:pPr>
              <w:pStyle w:val="262"/>
              <w:numPr>
                <w:ilvl w:val="0"/>
                <w:numId w:val="3"/>
              </w:numPr>
              <w:ind w:firstLine="0" w:firstLineChars="0"/>
              <w:rPr>
                <w:rFonts w:ascii="仿宋" w:hAnsi="仿宋" w:eastAsia="仿宋" w:cs="仿宋"/>
                <w:bCs/>
                <w:szCs w:val="21"/>
              </w:rPr>
            </w:pPr>
            <w:r>
              <w:rPr>
                <w:rFonts w:hint="eastAsia" w:ascii="仿宋" w:hAnsi="仿宋" w:eastAsia="仿宋" w:cs="仿宋"/>
                <w:bCs/>
                <w:szCs w:val="21"/>
              </w:rPr>
              <w:t>在线设备的安装所需辅材；</w:t>
            </w:r>
          </w:p>
          <w:p>
            <w:pPr>
              <w:pStyle w:val="262"/>
              <w:numPr>
                <w:ilvl w:val="0"/>
                <w:numId w:val="3"/>
              </w:numPr>
              <w:ind w:firstLine="0" w:firstLineChars="0"/>
              <w:rPr>
                <w:rFonts w:ascii="仿宋" w:hAnsi="仿宋" w:eastAsia="仿宋" w:cs="仿宋"/>
                <w:bCs/>
                <w:szCs w:val="21"/>
              </w:rPr>
            </w:pPr>
            <w:r>
              <w:rPr>
                <w:rFonts w:hint="eastAsia" w:ascii="仿宋" w:hAnsi="仿宋" w:eastAsia="仿宋" w:cs="仿宋"/>
                <w:bCs/>
                <w:szCs w:val="21"/>
              </w:rPr>
              <w:t>排放口到监测站房的采水管路；</w:t>
            </w:r>
          </w:p>
          <w:p>
            <w:pPr>
              <w:pStyle w:val="262"/>
              <w:numPr>
                <w:ilvl w:val="0"/>
                <w:numId w:val="3"/>
              </w:numPr>
              <w:ind w:firstLine="0" w:firstLineChars="0"/>
              <w:rPr>
                <w:rFonts w:ascii="仿宋" w:hAnsi="仿宋" w:eastAsia="仿宋" w:cs="仿宋"/>
                <w:bCs/>
                <w:szCs w:val="21"/>
              </w:rPr>
            </w:pPr>
            <w:r>
              <w:rPr>
                <w:rFonts w:hint="eastAsia" w:ascii="仿宋" w:hAnsi="仿宋" w:eastAsia="仿宋" w:cs="仿宋"/>
                <w:bCs/>
                <w:szCs w:val="21"/>
              </w:rPr>
              <w:t>设备的运行调试所需试剂；</w:t>
            </w:r>
          </w:p>
          <w:p>
            <w:pPr>
              <w:pStyle w:val="262"/>
              <w:numPr>
                <w:ilvl w:val="0"/>
                <w:numId w:val="3"/>
              </w:numPr>
              <w:ind w:firstLine="0" w:firstLineChars="0"/>
              <w:rPr>
                <w:rFonts w:ascii="仿宋" w:hAnsi="仿宋" w:eastAsia="仿宋" w:cs="仿宋"/>
                <w:bCs/>
                <w:szCs w:val="21"/>
              </w:rPr>
            </w:pPr>
            <w:r>
              <w:rPr>
                <w:rFonts w:hint="eastAsia" w:ascii="仿宋" w:hAnsi="仿宋" w:eastAsia="仿宋" w:cs="仿宋"/>
                <w:bCs/>
                <w:szCs w:val="21"/>
              </w:rPr>
              <w:t>调试联网到重庆市生态环境局；</w:t>
            </w:r>
          </w:p>
          <w:p>
            <w:pPr>
              <w:pStyle w:val="262"/>
              <w:numPr>
                <w:ilvl w:val="0"/>
                <w:numId w:val="3"/>
              </w:numPr>
              <w:ind w:firstLine="0" w:firstLineChars="0"/>
              <w:rPr>
                <w:rFonts w:ascii="仿宋" w:hAnsi="仿宋" w:eastAsia="仿宋" w:cs="仿宋"/>
                <w:bCs/>
                <w:szCs w:val="21"/>
              </w:rPr>
            </w:pPr>
            <w:r>
              <w:rPr>
                <w:rFonts w:hint="eastAsia" w:ascii="仿宋" w:hAnsi="仿宋" w:eastAsia="仿宋" w:cs="仿宋"/>
                <w:bCs/>
                <w:szCs w:val="21"/>
              </w:rPr>
              <w:t>招标方只负责提供联网所需的：IP地址、网络专线接进站房。除此之外其他联网调试及配置等均由投标方负责。</w:t>
            </w:r>
          </w:p>
        </w:tc>
        <w:tc>
          <w:tcPr>
            <w:tcW w:w="1178" w:type="dxa"/>
            <w:vAlign w:val="center"/>
          </w:tcPr>
          <w:p>
            <w:pPr>
              <w:pStyle w:val="262"/>
              <w:ind w:firstLine="0" w:firstLineChars="0"/>
              <w:jc w:val="center"/>
              <w:rPr>
                <w:rFonts w:ascii="仿宋" w:hAnsi="仿宋" w:eastAsia="仿宋" w:cs="仿宋"/>
                <w:b/>
                <w:szCs w:val="21"/>
              </w:rPr>
            </w:pPr>
            <w:r>
              <w:rPr>
                <w:rFonts w:ascii="仿宋" w:hAnsi="仿宋" w:eastAsia="仿宋" w:cs="仿宋"/>
                <w:b/>
                <w:szCs w:val="21"/>
              </w:rPr>
              <w:t>1</w:t>
            </w:r>
          </w:p>
        </w:tc>
        <w:tc>
          <w:tcPr>
            <w:tcW w:w="981" w:type="dxa"/>
            <w:vAlign w:val="center"/>
          </w:tcPr>
          <w:p>
            <w:pPr>
              <w:pStyle w:val="262"/>
              <w:ind w:firstLine="0" w:firstLineChars="0"/>
              <w:jc w:val="center"/>
              <w:rPr>
                <w:rFonts w:ascii="仿宋" w:hAnsi="仿宋" w:eastAsia="仿宋" w:cs="仿宋"/>
                <w:b/>
                <w:szCs w:val="21"/>
              </w:rPr>
            </w:pPr>
            <w:r>
              <w:rPr>
                <w:rFonts w:hint="eastAsia" w:ascii="仿宋" w:hAnsi="仿宋" w:eastAsia="仿宋" w:cs="仿宋"/>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764" w:type="dxa"/>
            <w:vAlign w:val="center"/>
          </w:tcPr>
          <w:p>
            <w:pPr>
              <w:pStyle w:val="262"/>
              <w:ind w:firstLine="0" w:firstLineChars="0"/>
              <w:jc w:val="center"/>
              <w:rPr>
                <w:rFonts w:ascii="仿宋" w:hAnsi="仿宋" w:eastAsia="仿宋" w:cs="仿宋"/>
                <w:bCs/>
                <w:szCs w:val="21"/>
              </w:rPr>
            </w:pPr>
            <w:r>
              <w:rPr>
                <w:rFonts w:ascii="仿宋" w:hAnsi="仿宋" w:eastAsia="仿宋" w:cs="仿宋"/>
                <w:bCs/>
                <w:szCs w:val="21"/>
              </w:rPr>
              <w:t>7</w:t>
            </w:r>
          </w:p>
        </w:tc>
        <w:tc>
          <w:tcPr>
            <w:tcW w:w="1114" w:type="dxa"/>
            <w:vAlign w:val="center"/>
          </w:tcPr>
          <w:p>
            <w:pPr>
              <w:pStyle w:val="262"/>
              <w:ind w:firstLine="0" w:firstLineChars="0"/>
              <w:rPr>
                <w:rFonts w:ascii="仿宋" w:hAnsi="仿宋" w:eastAsia="仿宋" w:cs="仿宋"/>
                <w:bCs/>
                <w:szCs w:val="21"/>
              </w:rPr>
            </w:pPr>
            <w:r>
              <w:rPr>
                <w:rFonts w:hint="eastAsia" w:ascii="仿宋" w:hAnsi="仿宋" w:eastAsia="仿宋" w:cs="仿宋"/>
                <w:bCs/>
                <w:szCs w:val="21"/>
              </w:rPr>
              <w:t>比对验收</w:t>
            </w:r>
          </w:p>
        </w:tc>
        <w:tc>
          <w:tcPr>
            <w:tcW w:w="4020" w:type="dxa"/>
            <w:vAlign w:val="center"/>
          </w:tcPr>
          <w:p>
            <w:pPr>
              <w:pStyle w:val="262"/>
              <w:ind w:firstLine="0" w:firstLineChars="0"/>
              <w:rPr>
                <w:rFonts w:ascii="仿宋" w:hAnsi="仿宋" w:eastAsia="仿宋" w:cs="仿宋"/>
                <w:bCs/>
                <w:szCs w:val="21"/>
              </w:rPr>
            </w:pPr>
            <w:r>
              <w:rPr>
                <w:rFonts w:hint="eastAsia" w:ascii="仿宋" w:hAnsi="仿宋" w:eastAsia="仿宋" w:cs="仿宋"/>
                <w:bCs/>
                <w:szCs w:val="21"/>
              </w:rPr>
              <w:t>投标方负责设备安装调试完成后，应对在线监测设备进行一个比对监测及验收，达到环保在线监测设备验收要求，具体规范参照HJ 354-2019；出具合格的第三方比对监测报告，并与环保局进行备案验收。</w:t>
            </w:r>
          </w:p>
        </w:tc>
        <w:tc>
          <w:tcPr>
            <w:tcW w:w="1178" w:type="dxa"/>
            <w:vAlign w:val="center"/>
          </w:tcPr>
          <w:p>
            <w:pPr>
              <w:pStyle w:val="262"/>
              <w:ind w:firstLine="0" w:firstLineChars="0"/>
              <w:jc w:val="center"/>
              <w:rPr>
                <w:rFonts w:ascii="仿宋" w:hAnsi="仿宋" w:eastAsia="仿宋" w:cs="仿宋"/>
                <w:b/>
                <w:szCs w:val="21"/>
              </w:rPr>
            </w:pPr>
            <w:r>
              <w:rPr>
                <w:rFonts w:ascii="仿宋" w:hAnsi="仿宋" w:eastAsia="仿宋" w:cs="仿宋"/>
                <w:b/>
                <w:szCs w:val="21"/>
              </w:rPr>
              <w:t>1</w:t>
            </w:r>
          </w:p>
        </w:tc>
        <w:tc>
          <w:tcPr>
            <w:tcW w:w="981" w:type="dxa"/>
            <w:vAlign w:val="center"/>
          </w:tcPr>
          <w:p>
            <w:pPr>
              <w:pStyle w:val="262"/>
              <w:ind w:firstLine="0" w:firstLineChars="0"/>
              <w:jc w:val="center"/>
              <w:rPr>
                <w:rFonts w:ascii="仿宋" w:hAnsi="仿宋" w:eastAsia="仿宋" w:cs="仿宋"/>
                <w:b/>
                <w:szCs w:val="21"/>
              </w:rPr>
            </w:pPr>
            <w:r>
              <w:rPr>
                <w:rFonts w:hint="eastAsia" w:ascii="仿宋" w:hAnsi="仿宋" w:eastAsia="仿宋" w:cs="仿宋"/>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2" w:hRule="atLeast"/>
          <w:jc w:val="center"/>
        </w:trPr>
        <w:tc>
          <w:tcPr>
            <w:tcW w:w="764" w:type="dxa"/>
            <w:vAlign w:val="center"/>
          </w:tcPr>
          <w:p>
            <w:pPr>
              <w:pStyle w:val="262"/>
              <w:ind w:firstLine="0" w:firstLineChars="0"/>
              <w:jc w:val="center"/>
              <w:rPr>
                <w:rFonts w:ascii="仿宋" w:hAnsi="仿宋" w:eastAsia="仿宋" w:cs="仿宋"/>
                <w:bCs/>
                <w:szCs w:val="21"/>
              </w:rPr>
            </w:pPr>
            <w:r>
              <w:rPr>
                <w:rFonts w:ascii="仿宋" w:hAnsi="仿宋" w:eastAsia="仿宋" w:cs="仿宋"/>
                <w:bCs/>
                <w:szCs w:val="21"/>
              </w:rPr>
              <w:t>8</w:t>
            </w:r>
          </w:p>
        </w:tc>
        <w:tc>
          <w:tcPr>
            <w:tcW w:w="1114" w:type="dxa"/>
            <w:vAlign w:val="center"/>
          </w:tcPr>
          <w:p>
            <w:pPr>
              <w:pStyle w:val="262"/>
              <w:ind w:firstLine="0" w:firstLineChars="0"/>
              <w:rPr>
                <w:rFonts w:ascii="仿宋" w:hAnsi="仿宋" w:eastAsia="仿宋" w:cs="仿宋"/>
                <w:bCs/>
                <w:szCs w:val="21"/>
              </w:rPr>
            </w:pPr>
            <w:r>
              <w:rPr>
                <w:rFonts w:hint="eastAsia" w:ascii="仿宋" w:hAnsi="仿宋" w:eastAsia="仿宋" w:cs="仿宋"/>
                <w:bCs/>
                <w:szCs w:val="21"/>
              </w:rPr>
              <w:t>运行维护</w:t>
            </w:r>
          </w:p>
        </w:tc>
        <w:tc>
          <w:tcPr>
            <w:tcW w:w="4020" w:type="dxa"/>
            <w:vAlign w:val="center"/>
          </w:tcPr>
          <w:p>
            <w:pPr>
              <w:pStyle w:val="262"/>
              <w:ind w:firstLine="0" w:firstLineChars="0"/>
              <w:rPr>
                <w:rFonts w:ascii="仿宋" w:hAnsi="仿宋" w:eastAsia="仿宋" w:cs="仿宋"/>
                <w:bCs/>
                <w:szCs w:val="21"/>
              </w:rPr>
            </w:pPr>
            <w:r>
              <w:rPr>
                <w:rFonts w:hint="eastAsia" w:ascii="仿宋" w:hAnsi="仿宋" w:eastAsia="仿宋" w:cs="仿宋"/>
                <w:bCs/>
                <w:szCs w:val="21"/>
              </w:rPr>
              <w:t>投标人负责在设备安装调试完成后的壹年运行维护。运行维护内容参照规范HJ 355-2019。</w:t>
            </w:r>
          </w:p>
          <w:p>
            <w:pPr>
              <w:pStyle w:val="262"/>
              <w:ind w:firstLine="0" w:firstLineChars="0"/>
              <w:rPr>
                <w:rFonts w:ascii="仿宋" w:hAnsi="仿宋" w:eastAsia="仿宋" w:cs="仿宋"/>
                <w:bCs/>
                <w:szCs w:val="21"/>
              </w:rPr>
            </w:pPr>
            <w:r>
              <w:rPr>
                <w:rFonts w:hint="eastAsia" w:ascii="仿宋" w:hAnsi="仿宋" w:eastAsia="仿宋" w:cs="仿宋"/>
                <w:bCs/>
                <w:szCs w:val="21"/>
              </w:rPr>
              <w:t>包含但不限于：</w:t>
            </w:r>
          </w:p>
          <w:p>
            <w:pPr>
              <w:pStyle w:val="262"/>
              <w:numPr>
                <w:ilvl w:val="0"/>
                <w:numId w:val="4"/>
              </w:numPr>
              <w:rPr>
                <w:rFonts w:ascii="仿宋" w:hAnsi="仿宋" w:eastAsia="仿宋" w:cs="仿宋"/>
                <w:bCs/>
                <w:szCs w:val="21"/>
              </w:rPr>
            </w:pPr>
            <w:r>
              <w:rPr>
                <w:rFonts w:hint="eastAsia" w:ascii="仿宋" w:hAnsi="仿宋" w:eastAsia="仿宋" w:cs="仿宋"/>
                <w:bCs/>
                <w:szCs w:val="21"/>
              </w:rPr>
              <w:t>每周至少一、二次到现场进行运维；</w:t>
            </w:r>
          </w:p>
          <w:p>
            <w:pPr>
              <w:pStyle w:val="262"/>
              <w:numPr>
                <w:ilvl w:val="0"/>
                <w:numId w:val="4"/>
              </w:numPr>
              <w:rPr>
                <w:rFonts w:ascii="仿宋" w:hAnsi="仿宋" w:eastAsia="仿宋" w:cs="仿宋"/>
                <w:bCs/>
                <w:szCs w:val="21"/>
              </w:rPr>
            </w:pPr>
            <w:r>
              <w:rPr>
                <w:rFonts w:hint="eastAsia" w:ascii="仿宋" w:hAnsi="仿宋" w:eastAsia="仿宋" w:cs="仿宋"/>
                <w:bCs/>
                <w:szCs w:val="21"/>
              </w:rPr>
              <w:t>设备所需的试剂、纯水；</w:t>
            </w:r>
          </w:p>
          <w:p>
            <w:pPr>
              <w:pStyle w:val="262"/>
              <w:numPr>
                <w:ilvl w:val="0"/>
                <w:numId w:val="4"/>
              </w:numPr>
              <w:rPr>
                <w:rFonts w:ascii="仿宋" w:hAnsi="仿宋" w:eastAsia="仿宋" w:cs="仿宋"/>
                <w:bCs/>
                <w:szCs w:val="21"/>
              </w:rPr>
            </w:pPr>
            <w:r>
              <w:rPr>
                <w:rFonts w:hint="eastAsia" w:ascii="仿宋" w:hAnsi="仿宋" w:eastAsia="仿宋" w:cs="仿宋"/>
                <w:bCs/>
                <w:szCs w:val="21"/>
              </w:rPr>
              <w:t>配备必要的售后车辆，接到设备故障通知后1小时响应，2小时赶到现场进行处理；</w:t>
            </w:r>
          </w:p>
          <w:p>
            <w:pPr>
              <w:pStyle w:val="262"/>
              <w:numPr>
                <w:ilvl w:val="0"/>
                <w:numId w:val="4"/>
              </w:numPr>
              <w:rPr>
                <w:rFonts w:ascii="仿宋" w:hAnsi="仿宋" w:eastAsia="仿宋" w:cs="仿宋"/>
                <w:bCs/>
                <w:szCs w:val="21"/>
              </w:rPr>
            </w:pPr>
            <w:r>
              <w:rPr>
                <w:rFonts w:hint="eastAsia" w:ascii="仿宋" w:hAnsi="仿宋" w:eastAsia="仿宋" w:cs="仿宋"/>
                <w:bCs/>
                <w:szCs w:val="21"/>
              </w:rPr>
              <w:t>设备产生的废液等由投标方按照规范处理；</w:t>
            </w:r>
          </w:p>
          <w:p>
            <w:pPr>
              <w:pStyle w:val="262"/>
              <w:numPr>
                <w:ilvl w:val="0"/>
                <w:numId w:val="4"/>
              </w:numPr>
              <w:rPr>
                <w:rFonts w:ascii="仿宋" w:hAnsi="仿宋" w:eastAsia="仿宋" w:cs="仿宋"/>
                <w:bCs/>
                <w:szCs w:val="21"/>
              </w:rPr>
            </w:pPr>
            <w:r>
              <w:rPr>
                <w:rFonts w:hint="eastAsia" w:ascii="仿宋" w:hAnsi="仿宋" w:eastAsia="仿宋" w:cs="仿宋"/>
                <w:bCs/>
                <w:szCs w:val="21"/>
              </w:rPr>
              <w:t>质保期内所有设备的配件及耗材更换；</w:t>
            </w:r>
          </w:p>
          <w:p>
            <w:pPr>
              <w:pStyle w:val="262"/>
              <w:numPr>
                <w:ilvl w:val="0"/>
                <w:numId w:val="4"/>
              </w:numPr>
              <w:rPr>
                <w:rFonts w:ascii="仿宋" w:hAnsi="仿宋" w:eastAsia="仿宋" w:cs="仿宋"/>
                <w:bCs/>
                <w:szCs w:val="21"/>
              </w:rPr>
            </w:pPr>
            <w:r>
              <w:rPr>
                <w:rFonts w:hint="eastAsia" w:ascii="仿宋" w:hAnsi="仿宋" w:eastAsia="仿宋" w:cs="仿宋"/>
                <w:bCs/>
                <w:szCs w:val="21"/>
              </w:rPr>
              <w:t>配合招标方接待相关的环保检查及比对取样。</w:t>
            </w:r>
          </w:p>
        </w:tc>
        <w:tc>
          <w:tcPr>
            <w:tcW w:w="1178" w:type="dxa"/>
            <w:vAlign w:val="center"/>
          </w:tcPr>
          <w:p>
            <w:pPr>
              <w:pStyle w:val="262"/>
              <w:ind w:firstLine="0" w:firstLineChars="0"/>
              <w:jc w:val="center"/>
              <w:rPr>
                <w:rFonts w:ascii="仿宋" w:hAnsi="仿宋" w:eastAsia="仿宋" w:cs="仿宋"/>
                <w:b/>
                <w:szCs w:val="21"/>
              </w:rPr>
            </w:pPr>
            <w:r>
              <w:rPr>
                <w:rFonts w:ascii="仿宋" w:hAnsi="仿宋" w:eastAsia="仿宋" w:cs="仿宋"/>
                <w:b/>
                <w:szCs w:val="21"/>
              </w:rPr>
              <w:t>1</w:t>
            </w:r>
          </w:p>
        </w:tc>
        <w:tc>
          <w:tcPr>
            <w:tcW w:w="981" w:type="dxa"/>
            <w:vAlign w:val="center"/>
          </w:tcPr>
          <w:p>
            <w:pPr>
              <w:pStyle w:val="262"/>
              <w:ind w:firstLine="0" w:firstLineChars="0"/>
              <w:jc w:val="center"/>
              <w:rPr>
                <w:rFonts w:ascii="仿宋" w:hAnsi="仿宋" w:eastAsia="仿宋" w:cs="仿宋"/>
                <w:b/>
                <w:szCs w:val="21"/>
              </w:rPr>
            </w:pPr>
            <w:r>
              <w:rPr>
                <w:rFonts w:hint="eastAsia" w:ascii="仿宋" w:hAnsi="仿宋" w:eastAsia="仿宋" w:cs="仿宋"/>
                <w:szCs w:val="21"/>
              </w:rPr>
              <w:t>套</w:t>
            </w:r>
          </w:p>
        </w:tc>
      </w:tr>
    </w:tbl>
    <w:p>
      <w:pPr>
        <w:pStyle w:val="4"/>
        <w:spacing w:before="0" w:after="0" w:line="400" w:lineRule="exact"/>
        <w:rPr>
          <w:rFonts w:ascii="宋体" w:hAnsi="宋体" w:cs="宋体"/>
          <w:sz w:val="24"/>
          <w:szCs w:val="24"/>
        </w:rPr>
      </w:pPr>
    </w:p>
    <w:p>
      <w:pPr>
        <w:pStyle w:val="4"/>
        <w:spacing w:before="0" w:after="0" w:line="400" w:lineRule="exact"/>
        <w:rPr>
          <w:rFonts w:ascii="宋体" w:hAnsi="宋体" w:cs="宋体"/>
          <w:sz w:val="24"/>
          <w:szCs w:val="24"/>
        </w:rPr>
      </w:pPr>
      <w:r>
        <w:rPr>
          <w:rFonts w:hint="eastAsia" w:ascii="宋体" w:hAnsi="宋体" w:cs="宋体"/>
          <w:sz w:val="24"/>
          <w:szCs w:val="24"/>
        </w:rPr>
        <w:t>备注</w:t>
      </w:r>
      <w:bookmarkEnd w:id="46"/>
      <w:r>
        <w:rPr>
          <w:rFonts w:hint="eastAsia" w:ascii="宋体" w:hAnsi="宋体" w:cs="宋体"/>
          <w:sz w:val="24"/>
          <w:szCs w:val="24"/>
        </w:rPr>
        <w:t>：</w:t>
      </w:r>
    </w:p>
    <w:p>
      <w:pPr>
        <w:spacing w:line="360" w:lineRule="auto"/>
        <w:ind w:firstLine="480" w:firstLineChars="200"/>
        <w:rPr>
          <w:rFonts w:ascii="宋体" w:hAnsi="宋体" w:cs="宋体"/>
          <w:sz w:val="24"/>
        </w:rPr>
      </w:pPr>
      <w:r>
        <w:rPr>
          <w:rFonts w:hint="eastAsia" w:ascii="宋体" w:hAnsi="宋体" w:cs="宋体"/>
          <w:sz w:val="24"/>
        </w:rPr>
        <w:t>1.投标人需针对服务响应需求在投标文件《服务响应偏离表》中逐条列出响应及偏差情况并予以说明或提供有力的资料支持。</w:t>
      </w:r>
    </w:p>
    <w:p>
      <w:pPr>
        <w:spacing w:line="360" w:lineRule="auto"/>
        <w:ind w:firstLine="480" w:firstLineChars="200"/>
        <w:rPr>
          <w:rFonts w:ascii="宋体" w:hAnsi="宋体" w:cs="宋体"/>
          <w:sz w:val="24"/>
        </w:rPr>
      </w:pPr>
      <w:r>
        <w:rPr>
          <w:rFonts w:hint="eastAsia" w:ascii="宋体" w:hAnsi="宋体" w:cs="宋体"/>
          <w:sz w:val="24"/>
        </w:rPr>
        <w:t>2.对优于招标需求或正偏离项，投标人需在投标文件《服务响应偏离表》中逐条列出正偏差情况并提供有力的资料支持。</w:t>
      </w:r>
    </w:p>
    <w:p>
      <w:pPr>
        <w:rPr>
          <w:rFonts w:ascii="Arial" w:hAnsi="Arial"/>
          <w:b/>
          <w:bCs/>
          <w:sz w:val="28"/>
          <w:szCs w:val="32"/>
          <w:lang w:val="zh-CN"/>
        </w:rPr>
      </w:pPr>
      <w:r>
        <w:rPr>
          <w:rFonts w:hint="eastAsia" w:ascii="仿宋_GB2312" w:hAnsi="仿宋_GB2312" w:cs="仿宋_GB2312"/>
        </w:rPr>
        <w:t>★</w:t>
      </w:r>
      <w:r>
        <w:rPr>
          <w:rFonts w:hint="eastAsia" w:ascii="Arial" w:hAnsi="Arial"/>
          <w:b/>
          <w:bCs/>
          <w:sz w:val="28"/>
          <w:szCs w:val="32"/>
          <w:lang w:val="zh-CN"/>
        </w:rPr>
        <w:t>三、总体要求</w:t>
      </w:r>
    </w:p>
    <w:p>
      <w:pPr>
        <w:autoSpaceDE w:val="0"/>
        <w:autoSpaceDN w:val="0"/>
        <w:adjustRightInd w:val="0"/>
        <w:ind w:firstLine="480" w:firstLineChars="200"/>
        <w:jc w:val="left"/>
        <w:rPr>
          <w:rFonts w:ascii="Times" w:hAnsi="Times" w:eastAsia="Songti SC" w:cs="Times"/>
          <w:color w:val="000000"/>
          <w:kern w:val="0"/>
          <w:sz w:val="24"/>
        </w:rPr>
      </w:pPr>
      <w:r>
        <w:rPr>
          <w:rFonts w:hint="eastAsia" w:ascii="Times" w:hAnsi="Times" w:eastAsia="Songti SC" w:cs="Times"/>
          <w:color w:val="000000"/>
          <w:kern w:val="0"/>
          <w:sz w:val="24"/>
        </w:rPr>
        <w:t>运行维护化学需氧量在线检测仪、氨氮在线检测仪、以及PH计、流量计、数采仪、采排水系统等所有附属仪表、设施。</w:t>
      </w:r>
    </w:p>
    <w:p>
      <w:pPr>
        <w:numPr>
          <w:ilvl w:val="0"/>
          <w:numId w:val="5"/>
        </w:numPr>
        <w:autoSpaceDE w:val="0"/>
        <w:autoSpaceDN w:val="0"/>
        <w:adjustRightInd w:val="0"/>
        <w:ind w:firstLine="480" w:firstLineChars="200"/>
        <w:jc w:val="left"/>
        <w:rPr>
          <w:rFonts w:ascii="Times" w:hAnsi="Times" w:eastAsia="Songti SC" w:cs="Times"/>
          <w:color w:val="000000"/>
          <w:kern w:val="0"/>
          <w:sz w:val="24"/>
        </w:rPr>
      </w:pPr>
      <w:r>
        <w:rPr>
          <w:rFonts w:hint="eastAsia" w:ascii="Times" w:hAnsi="Times" w:eastAsia="Songti SC" w:cs="Times"/>
          <w:color w:val="000000"/>
          <w:kern w:val="0"/>
          <w:sz w:val="24"/>
        </w:rPr>
        <w:t>每周现场工作内容（每周1—2次）</w:t>
      </w:r>
    </w:p>
    <w:p>
      <w:pPr>
        <w:autoSpaceDE w:val="0"/>
        <w:autoSpaceDN w:val="0"/>
        <w:adjustRightInd w:val="0"/>
        <w:jc w:val="left"/>
        <w:rPr>
          <w:rFonts w:ascii="Times" w:hAnsi="Times" w:eastAsia="Songti SC" w:cs="Times"/>
          <w:color w:val="000000"/>
          <w:kern w:val="0"/>
          <w:sz w:val="24"/>
        </w:rPr>
      </w:pPr>
      <w:r>
        <w:rPr>
          <w:rFonts w:hint="eastAsia" w:ascii="Times" w:hAnsi="Times" w:eastAsia="Songti SC" w:cs="Times"/>
          <w:color w:val="000000"/>
          <w:kern w:val="0"/>
          <w:sz w:val="24"/>
        </w:rPr>
        <w:t>1、检查调整各台自动分析仪及辅助设备的运行状态和主要技术参数，保证运行正常。</w:t>
      </w:r>
    </w:p>
    <w:p>
      <w:pPr>
        <w:autoSpaceDE w:val="0"/>
        <w:autoSpaceDN w:val="0"/>
        <w:adjustRightInd w:val="0"/>
        <w:jc w:val="left"/>
        <w:rPr>
          <w:rFonts w:ascii="Times" w:hAnsi="Times" w:eastAsia="Songti SC" w:cs="Times"/>
          <w:color w:val="000000"/>
          <w:kern w:val="0"/>
          <w:sz w:val="24"/>
        </w:rPr>
      </w:pPr>
      <w:r>
        <w:rPr>
          <w:rFonts w:hint="eastAsia" w:ascii="Times" w:hAnsi="Times" w:eastAsia="Songti SC" w:cs="Times"/>
          <w:color w:val="000000"/>
          <w:kern w:val="0"/>
          <w:sz w:val="24"/>
        </w:rPr>
        <w:t>2、检查自来水供应、泵取水情况，检查内部管路是否通畅，仪器自动清洗装置是否运行正常，检查各自动分析仪的进样水管和排水管是否清洁，每周进行清洗。每周清洗水泵和过滤装置。</w:t>
      </w:r>
    </w:p>
    <w:p>
      <w:pPr>
        <w:autoSpaceDE w:val="0"/>
        <w:autoSpaceDN w:val="0"/>
        <w:adjustRightInd w:val="0"/>
        <w:jc w:val="left"/>
        <w:rPr>
          <w:rFonts w:ascii="Times" w:hAnsi="Times" w:eastAsia="Songti SC" w:cs="Times"/>
          <w:color w:val="000000"/>
          <w:kern w:val="0"/>
          <w:sz w:val="24"/>
        </w:rPr>
      </w:pPr>
      <w:r>
        <w:rPr>
          <w:rFonts w:hint="eastAsia" w:ascii="Times" w:hAnsi="Times" w:eastAsia="Songti SC" w:cs="Times"/>
          <w:color w:val="000000"/>
          <w:kern w:val="0"/>
          <w:sz w:val="24"/>
        </w:rPr>
        <w:t>3、检查站房内电路系统、通讯系统，保证运行正常。</w:t>
      </w:r>
    </w:p>
    <w:p>
      <w:pPr>
        <w:autoSpaceDE w:val="0"/>
        <w:autoSpaceDN w:val="0"/>
        <w:adjustRightInd w:val="0"/>
        <w:jc w:val="left"/>
        <w:rPr>
          <w:rFonts w:ascii="Times" w:hAnsi="Times" w:eastAsia="Songti SC" w:cs="Times"/>
          <w:color w:val="000000"/>
          <w:kern w:val="0"/>
          <w:sz w:val="24"/>
        </w:rPr>
      </w:pPr>
      <w:r>
        <w:rPr>
          <w:rFonts w:hint="eastAsia" w:ascii="Times" w:hAnsi="Times" w:eastAsia="Songti SC" w:cs="Times"/>
          <w:color w:val="000000"/>
          <w:kern w:val="0"/>
          <w:sz w:val="24"/>
        </w:rPr>
        <w:t>4、对于用电极法测量的仪器，检查标准溶液和电极填充液，进行电极探头的清洗。</w:t>
      </w:r>
    </w:p>
    <w:p>
      <w:pPr>
        <w:autoSpaceDE w:val="0"/>
        <w:autoSpaceDN w:val="0"/>
        <w:adjustRightInd w:val="0"/>
        <w:jc w:val="left"/>
        <w:rPr>
          <w:rFonts w:ascii="Times" w:hAnsi="Times" w:eastAsia="Songti SC" w:cs="Times"/>
          <w:color w:val="000000"/>
          <w:kern w:val="0"/>
          <w:sz w:val="24"/>
        </w:rPr>
      </w:pPr>
      <w:r>
        <w:rPr>
          <w:rFonts w:hint="eastAsia" w:ascii="Times" w:hAnsi="Times" w:eastAsia="Songti SC" w:cs="Times"/>
          <w:color w:val="000000"/>
          <w:kern w:val="0"/>
          <w:sz w:val="24"/>
        </w:rPr>
        <w:t>5、检查各仪器标准溶液和试剂是否在有效使用期内，按相关要求定期更换标准溶液和分析试剂。</w:t>
      </w:r>
    </w:p>
    <w:p>
      <w:pPr>
        <w:autoSpaceDE w:val="0"/>
        <w:autoSpaceDN w:val="0"/>
        <w:adjustRightInd w:val="0"/>
        <w:jc w:val="left"/>
        <w:rPr>
          <w:rFonts w:ascii="Times" w:hAnsi="Times" w:eastAsia="Songti SC" w:cs="Times"/>
          <w:color w:val="000000"/>
          <w:kern w:val="0"/>
          <w:sz w:val="24"/>
        </w:rPr>
      </w:pPr>
      <w:r>
        <w:rPr>
          <w:rFonts w:hint="eastAsia" w:ascii="Times" w:hAnsi="Times" w:eastAsia="Songti SC" w:cs="Times"/>
          <w:color w:val="000000"/>
          <w:kern w:val="0"/>
          <w:sz w:val="24"/>
        </w:rPr>
        <w:t>6、观察数据采集传输仪运行情况，并检查连接处有无损坏,对数据进行抽样检查，保证自动分析仪、数据采集传输仪及上位机接收到的数据一致。</w:t>
      </w:r>
    </w:p>
    <w:p>
      <w:pPr>
        <w:numPr>
          <w:ilvl w:val="0"/>
          <w:numId w:val="5"/>
        </w:numPr>
        <w:autoSpaceDE w:val="0"/>
        <w:autoSpaceDN w:val="0"/>
        <w:adjustRightInd w:val="0"/>
        <w:ind w:firstLine="480" w:firstLineChars="200"/>
        <w:jc w:val="left"/>
        <w:rPr>
          <w:rFonts w:ascii="Times" w:hAnsi="Times" w:eastAsia="Songti SC" w:cs="Times"/>
          <w:color w:val="000000"/>
          <w:kern w:val="0"/>
          <w:sz w:val="24"/>
        </w:rPr>
      </w:pPr>
      <w:r>
        <w:rPr>
          <w:rFonts w:hint="eastAsia" w:ascii="Times" w:hAnsi="Times" w:eastAsia="Songti SC" w:cs="Times"/>
          <w:color w:val="000000"/>
          <w:kern w:val="0"/>
          <w:sz w:val="24"/>
        </w:rPr>
        <w:t>日常校验</w:t>
      </w:r>
    </w:p>
    <w:p>
      <w:pPr>
        <w:autoSpaceDE w:val="0"/>
        <w:autoSpaceDN w:val="0"/>
        <w:adjustRightInd w:val="0"/>
        <w:ind w:firstLine="480" w:firstLineChars="200"/>
        <w:jc w:val="left"/>
        <w:rPr>
          <w:rFonts w:ascii="Times" w:hAnsi="Times" w:eastAsia="Songti SC" w:cs="Times"/>
          <w:color w:val="000000"/>
          <w:kern w:val="0"/>
          <w:sz w:val="24"/>
        </w:rPr>
      </w:pPr>
      <w:r>
        <w:rPr>
          <w:rFonts w:hint="eastAsia" w:ascii="Times" w:hAnsi="Times" w:eastAsia="Songti SC" w:cs="Times"/>
          <w:color w:val="000000"/>
          <w:kern w:val="0"/>
          <w:sz w:val="24"/>
        </w:rPr>
        <w:t>每月进行重复性、零点漂移和量程漂移试验，并至少进行一次实际水样比对试验和质控样试验，进行一次现场校验，自动校准或手工校准。实际水样比对试验结果应满足规定的性能指标要求，质控样测定的相对误差不大于标准值的±10%，实际水样比对试验或校验的结果不满足规定的性能指标要求时，应立即重新进行第2次比对试验或校验，连续三次结果不符合要求，应采用备用仪器或手工方法监测。备用仪器在正常使用和运行之前应对仪器进行校验和比对试验。</w:t>
      </w:r>
    </w:p>
    <w:p>
      <w:pPr>
        <w:pStyle w:val="33"/>
        <w:ind w:firstLine="0" w:firstLineChars="0"/>
        <w:rPr>
          <w:rFonts w:ascii="方正仿宋_GBK" w:hAnsi="宋体" w:eastAsia="方正仿宋_GBK"/>
          <w:color w:val="000000" w:themeColor="text1"/>
          <w:spacing w:val="0"/>
          <w:sz w:val="24"/>
        </w:rPr>
      </w:pPr>
      <w:r>
        <w:rPr>
          <w:rFonts w:hint="eastAsia" w:ascii="仿宋_GB2312" w:hAnsi="仿宋_GB2312" w:cs="仿宋_GB2312"/>
        </w:rPr>
        <w:t>★</w:t>
      </w:r>
      <w:r>
        <w:rPr>
          <w:rFonts w:hint="eastAsia" w:ascii="宋体" w:hAnsi="宋体" w:eastAsia="宋体" w:cs="宋体"/>
          <w:b/>
          <w:bCs/>
          <w:sz w:val="28"/>
          <w:szCs w:val="32"/>
          <w:lang w:val="zh-CN"/>
        </w:rPr>
        <w:t>四、管理服务要求</w:t>
      </w:r>
    </w:p>
    <w:p>
      <w:pPr>
        <w:tabs>
          <w:tab w:val="left" w:pos="0"/>
        </w:tabs>
        <w:spacing w:line="276" w:lineRule="auto"/>
        <w:rPr>
          <w:rFonts w:ascii="仿宋_GB2312" w:hAnsi="仿宋_GB2312" w:cs="仿宋_GB2312"/>
        </w:rPr>
      </w:pPr>
      <w:r>
        <w:rPr>
          <w:rFonts w:hint="eastAsia" w:ascii="仿宋_GB2312" w:hAnsi="仿宋_GB2312" w:cs="仿宋_GB2312"/>
        </w:rPr>
        <w:t>（1）建立健全工作站管理制度、运营、维修、安全技术操作规程。</w:t>
      </w:r>
    </w:p>
    <w:p>
      <w:pPr>
        <w:tabs>
          <w:tab w:val="left" w:pos="0"/>
        </w:tabs>
        <w:spacing w:line="276" w:lineRule="auto"/>
        <w:ind w:firstLine="480"/>
        <w:rPr>
          <w:rFonts w:ascii="仿宋_GB2312" w:hAnsi="仿宋_GB2312" w:cs="仿宋_GB2312"/>
        </w:rPr>
      </w:pPr>
      <w:r>
        <w:rPr>
          <w:rFonts w:hint="eastAsia" w:ascii="仿宋_GB2312" w:hAnsi="仿宋_GB2312" w:cs="仿宋_GB2312"/>
        </w:rPr>
        <w:t>2）建立切实可行的设备设施维护维修制度、应急预案、应急管理制度、安排每年不少于1次的应急工作预防演练。</w:t>
      </w:r>
    </w:p>
    <w:p>
      <w:pPr>
        <w:tabs>
          <w:tab w:val="left" w:pos="0"/>
        </w:tabs>
        <w:spacing w:line="276" w:lineRule="auto"/>
        <w:ind w:firstLine="480"/>
        <w:rPr>
          <w:rFonts w:ascii="仿宋_GB2312" w:hAnsi="仿宋_GB2312" w:cs="仿宋_GB2312"/>
        </w:rPr>
      </w:pPr>
      <w:r>
        <w:rPr>
          <w:rFonts w:hint="eastAsia" w:ascii="仿宋_GB2312" w:hAnsi="仿宋_GB2312" w:cs="仿宋_GB2312"/>
        </w:rPr>
        <w:t>（3）建立健全安全管理体系，完善并制作工作站现场的安全警示标识、设备工艺标识</w:t>
      </w:r>
    </w:p>
    <w:p>
      <w:pPr>
        <w:tabs>
          <w:tab w:val="left" w:pos="0"/>
        </w:tabs>
        <w:spacing w:line="276" w:lineRule="auto"/>
        <w:ind w:firstLine="480"/>
        <w:rPr>
          <w:rFonts w:ascii="仿宋_GB2312" w:hAnsi="仿宋_GB2312" w:cs="仿宋_GB2312"/>
        </w:rPr>
      </w:pPr>
      <w:r>
        <w:rPr>
          <w:rFonts w:hint="eastAsia" w:ascii="仿宋_GB2312" w:hAnsi="仿宋_GB2312" w:cs="仿宋_GB2312"/>
        </w:rPr>
        <w:t>（4）定期对员工进行业务培训、管理培训及知识更新。</w:t>
      </w:r>
    </w:p>
    <w:p>
      <w:pPr>
        <w:tabs>
          <w:tab w:val="left" w:pos="0"/>
        </w:tabs>
        <w:spacing w:line="276" w:lineRule="auto"/>
        <w:ind w:firstLine="480"/>
        <w:rPr>
          <w:rFonts w:ascii="仿宋_GB2312" w:hAnsi="仿宋_GB2312" w:cs="仿宋_GB2312"/>
        </w:rPr>
      </w:pPr>
      <w:r>
        <w:rPr>
          <w:rFonts w:hint="eastAsia" w:ascii="仿宋_GB2312" w:hAnsi="仿宋_GB2312" w:cs="仿宋_GB2312"/>
        </w:rPr>
        <w:t>（5）制定操作工、维修工、项目负责人常规考核办法。</w:t>
      </w:r>
    </w:p>
    <w:p>
      <w:pPr>
        <w:tabs>
          <w:tab w:val="left" w:pos="0"/>
        </w:tabs>
        <w:spacing w:line="276" w:lineRule="auto"/>
        <w:ind w:firstLine="480"/>
        <w:rPr>
          <w:rFonts w:ascii="仿宋_GB2312" w:hAnsi="仿宋_GB2312" w:cs="仿宋_GB2312"/>
        </w:rPr>
      </w:pPr>
      <w:r>
        <w:rPr>
          <w:rFonts w:hint="eastAsia" w:ascii="仿宋_GB2312" w:hAnsi="仿宋_GB2312" w:cs="仿宋_GB2312"/>
        </w:rPr>
        <w:t>（6）工作站的运行日志、监测记录、维修记录、药品购买、使用记录表等各类台帐由服务商制作、详实记录、装订并妥善保存。</w:t>
      </w:r>
    </w:p>
    <w:p>
      <w:pPr>
        <w:tabs>
          <w:tab w:val="left" w:pos="0"/>
        </w:tabs>
        <w:spacing w:line="276" w:lineRule="auto"/>
        <w:ind w:firstLine="480"/>
        <w:rPr>
          <w:rFonts w:ascii="仿宋_GB2312" w:hAnsi="仿宋_GB2312" w:cs="仿宋_GB2312"/>
        </w:rPr>
      </w:pPr>
      <w:r>
        <w:rPr>
          <w:rFonts w:hint="eastAsia" w:ascii="仿宋_GB2312" w:hAnsi="仿宋_GB2312" w:cs="仿宋_GB2312"/>
        </w:rPr>
        <w:t>（7）在运营期内，服务商随时接受各级部门的监督检查工作，按要求提供检查资料，并在规定时间内对检查中发现的问题进行整改。</w:t>
      </w:r>
    </w:p>
    <w:p>
      <w:pPr>
        <w:tabs>
          <w:tab w:val="left" w:pos="0"/>
        </w:tabs>
        <w:spacing w:line="276" w:lineRule="auto"/>
        <w:ind w:firstLine="480"/>
        <w:rPr>
          <w:rFonts w:ascii="仿宋_GB2312" w:hAnsi="仿宋_GB2312" w:cs="仿宋_GB2312"/>
        </w:rPr>
      </w:pPr>
      <w:r>
        <w:rPr>
          <w:rFonts w:hint="eastAsia" w:ascii="仿宋_GB2312" w:hAnsi="仿宋_GB2312" w:cs="仿宋_GB2312"/>
        </w:rPr>
        <w:t>（8）每年年终进行一次工作总结，以书面形式递交采购人。</w:t>
      </w:r>
    </w:p>
    <w:p>
      <w:pPr>
        <w:tabs>
          <w:tab w:val="left" w:pos="0"/>
        </w:tabs>
        <w:spacing w:line="276" w:lineRule="auto"/>
        <w:ind w:firstLine="480"/>
        <w:rPr>
          <w:rFonts w:ascii="仿宋_GB2312" w:hAnsi="仿宋_GB2312" w:cs="仿宋_GB2312"/>
        </w:rPr>
      </w:pPr>
      <w:r>
        <w:rPr>
          <w:rFonts w:hint="eastAsia" w:ascii="仿宋_GB2312" w:hAnsi="仿宋_GB2312" w:cs="仿宋_GB2312"/>
        </w:rPr>
        <w:t>（9）随时保持工作站值班室、操作间、药品库房干净整洁，每月不少于1次对周围环境进行大扫除，对有锈蚀的管道或设备进行刷漆，保持设备、墙面干净整洁。</w:t>
      </w:r>
    </w:p>
    <w:p>
      <w:pPr>
        <w:tabs>
          <w:tab w:val="left" w:pos="0"/>
        </w:tabs>
        <w:spacing w:line="276" w:lineRule="auto"/>
        <w:ind w:firstLine="480"/>
      </w:pPr>
      <w:r>
        <w:rPr>
          <w:rFonts w:hint="eastAsia" w:ascii="仿宋_GB2312" w:hAnsi="仿宋_GB2312" w:cs="仿宋_GB2312"/>
        </w:rPr>
        <w:t>（10）</w:t>
      </w:r>
      <w:r>
        <w:t>日常巡检制度及巡检内容</w:t>
      </w:r>
      <w:r>
        <w:rPr>
          <w:rFonts w:hint="eastAsia"/>
        </w:rPr>
        <w:t>、</w:t>
      </w:r>
      <w:r>
        <w:t>定期维护制度及定期维护内容</w:t>
      </w:r>
      <w:r>
        <w:rPr>
          <w:rFonts w:hint="eastAsia"/>
        </w:rPr>
        <w:t>、</w:t>
      </w:r>
      <w:r>
        <w:t>定期校验和校准制度及内容</w:t>
      </w:r>
      <w:r>
        <w:rPr>
          <w:rFonts w:hint="eastAsia"/>
        </w:rPr>
        <w:t>、</w:t>
      </w:r>
      <w:r>
        <w:t>易损、易耗品的定期检查和更换制度每日巡检情况及处理结果的记录</w:t>
      </w:r>
      <w:r>
        <w:rPr>
          <w:rFonts w:hint="eastAsia"/>
        </w:rPr>
        <w:t>。</w:t>
      </w:r>
    </w:p>
    <w:p>
      <w:pPr>
        <w:tabs>
          <w:tab w:val="left" w:pos="0"/>
        </w:tabs>
        <w:spacing w:line="360" w:lineRule="auto"/>
        <w:rPr>
          <w:rFonts w:ascii="Arial" w:hAnsi="Arial"/>
          <w:b/>
          <w:bCs/>
          <w:sz w:val="28"/>
          <w:szCs w:val="32"/>
          <w:highlight w:val="yellow"/>
          <w:lang w:val="zh-CN"/>
        </w:rPr>
      </w:pPr>
      <w:r>
        <w:rPr>
          <w:rFonts w:hint="eastAsia" w:ascii="仿宋_GB2312" w:hAnsi="仿宋_GB2312" w:cs="仿宋_GB2312"/>
          <w:highlight w:val="yellow"/>
        </w:rPr>
        <w:t>★</w:t>
      </w:r>
      <w:r>
        <w:rPr>
          <w:rFonts w:hint="eastAsia" w:ascii="Arial" w:hAnsi="Arial"/>
          <w:b/>
          <w:bCs/>
          <w:sz w:val="28"/>
          <w:szCs w:val="32"/>
          <w:highlight w:val="yellow"/>
          <w:lang w:val="zh-CN"/>
        </w:rPr>
        <w:t>五、设备设施维修维护要求</w:t>
      </w:r>
    </w:p>
    <w:p>
      <w:pPr>
        <w:autoSpaceDE w:val="0"/>
        <w:autoSpaceDN w:val="0"/>
        <w:adjustRightInd w:val="0"/>
        <w:spacing w:line="360" w:lineRule="auto"/>
        <w:jc w:val="left"/>
        <w:rPr>
          <w:rFonts w:ascii="Times" w:hAnsi="Times" w:eastAsia="Songti SC" w:cs="Times"/>
          <w:color w:val="000000"/>
          <w:kern w:val="0"/>
          <w:sz w:val="24"/>
          <w:highlight w:val="yellow"/>
        </w:rPr>
      </w:pPr>
      <w:r>
        <w:rPr>
          <w:rFonts w:hint="eastAsia" w:ascii="Times" w:hAnsi="Times" w:eastAsia="Songti SC" w:cs="Times"/>
          <w:color w:val="000000"/>
          <w:kern w:val="0"/>
          <w:sz w:val="24"/>
          <w:highlight w:val="yellow"/>
        </w:rPr>
        <w:t>（1）</w:t>
      </w:r>
      <w:r>
        <w:rPr>
          <w:rFonts w:hint="eastAsia" w:ascii="宋体" w:hAnsi="宋体" w:cs="宋体"/>
          <w:color w:val="000000"/>
          <w:kern w:val="0"/>
          <w:sz w:val="24"/>
          <w:highlight w:val="yellow"/>
        </w:rPr>
        <w:t>质保期内</w:t>
      </w:r>
      <w:r>
        <w:rPr>
          <w:rFonts w:hint="eastAsia" w:ascii="Times" w:hAnsi="Times" w:eastAsia="Songti SC" w:cs="Times"/>
          <w:color w:val="000000"/>
          <w:kern w:val="0"/>
          <w:sz w:val="24"/>
          <w:highlight w:val="yellow"/>
        </w:rPr>
        <w:t>设施设备需要更换零部件时，由成交供应商承担费用。</w:t>
      </w:r>
    </w:p>
    <w:p>
      <w:pPr>
        <w:autoSpaceDE w:val="0"/>
        <w:autoSpaceDN w:val="0"/>
        <w:adjustRightInd w:val="0"/>
        <w:spacing w:line="360" w:lineRule="auto"/>
        <w:jc w:val="left"/>
        <w:rPr>
          <w:rFonts w:ascii="Times" w:hAnsi="Times" w:eastAsia="Songti SC" w:cs="Times"/>
          <w:color w:val="000000"/>
          <w:kern w:val="0"/>
          <w:sz w:val="24"/>
          <w:highlight w:val="yellow"/>
        </w:rPr>
      </w:pPr>
      <w:r>
        <w:rPr>
          <w:rFonts w:hint="eastAsia" w:ascii="Times" w:hAnsi="Times" w:eastAsia="Songti SC" w:cs="Times"/>
          <w:color w:val="000000"/>
          <w:kern w:val="0"/>
          <w:sz w:val="24"/>
          <w:highlight w:val="yellow"/>
        </w:rPr>
        <w:t>（2）各设备仪器的标准溶液和试剂等耗材，由成交供应商提供。</w:t>
      </w:r>
      <w:r>
        <w:rPr>
          <w:rFonts w:hint="eastAsia" w:ascii="仿宋_GB2312" w:hAnsi="仿宋_GB2312" w:cs="仿宋_GB2312"/>
          <w:highlight w:val="yellow"/>
        </w:rPr>
        <w:t>采购人不另外支付设备维修劳务费及设备运行耗材的费用。</w:t>
      </w:r>
    </w:p>
    <w:p>
      <w:pPr>
        <w:autoSpaceDE w:val="0"/>
        <w:autoSpaceDN w:val="0"/>
        <w:adjustRightInd w:val="0"/>
        <w:spacing w:line="360" w:lineRule="auto"/>
        <w:jc w:val="left"/>
        <w:rPr>
          <w:rFonts w:ascii="Times" w:hAnsi="Times" w:eastAsia="Songti SC" w:cs="Times"/>
          <w:color w:val="000000"/>
          <w:kern w:val="0"/>
          <w:sz w:val="24"/>
          <w:highlight w:val="yellow"/>
        </w:rPr>
      </w:pPr>
      <w:r>
        <w:rPr>
          <w:rFonts w:hint="eastAsia" w:ascii="Times" w:hAnsi="Times" w:eastAsia="Songti SC" w:cs="Times"/>
          <w:color w:val="000000"/>
          <w:kern w:val="0"/>
          <w:sz w:val="24"/>
          <w:highlight w:val="yellow"/>
        </w:rPr>
        <w:t>（3）运维过程中所产生的废液，由成交供应商负责严格按环保法规妥善处置。</w:t>
      </w:r>
    </w:p>
    <w:p>
      <w:pPr>
        <w:autoSpaceDE w:val="0"/>
        <w:autoSpaceDN w:val="0"/>
        <w:adjustRightInd w:val="0"/>
        <w:spacing w:line="360" w:lineRule="auto"/>
        <w:jc w:val="left"/>
        <w:rPr>
          <w:rFonts w:ascii="Times" w:hAnsi="Times" w:eastAsia="Songti SC" w:cs="Times"/>
          <w:color w:val="000000"/>
          <w:kern w:val="0"/>
          <w:sz w:val="24"/>
          <w:highlight w:val="yellow"/>
        </w:rPr>
      </w:pPr>
      <w:r>
        <w:rPr>
          <w:rFonts w:hint="eastAsia" w:ascii="Times" w:hAnsi="Times" w:eastAsia="Songti SC" w:cs="Times"/>
          <w:color w:val="000000"/>
          <w:kern w:val="0"/>
          <w:sz w:val="24"/>
          <w:highlight w:val="yellow"/>
        </w:rPr>
        <w:t>（4）为保证工作站全部设备的正常运转，保持其良好状况，服务商必须按设备管理和安全操作规程使用设备外，必须严格遵守有关维护保养制度。</w:t>
      </w:r>
    </w:p>
    <w:p>
      <w:pPr>
        <w:autoSpaceDE w:val="0"/>
        <w:autoSpaceDN w:val="0"/>
        <w:adjustRightInd w:val="0"/>
        <w:spacing w:line="360" w:lineRule="auto"/>
        <w:jc w:val="left"/>
        <w:rPr>
          <w:rFonts w:ascii="Times" w:hAnsi="Times" w:eastAsia="Songti SC" w:cs="Times"/>
          <w:color w:val="000000"/>
          <w:kern w:val="0"/>
          <w:sz w:val="24"/>
          <w:highlight w:val="yellow"/>
        </w:rPr>
      </w:pPr>
      <w:r>
        <w:rPr>
          <w:rFonts w:hint="eastAsia" w:ascii="Times" w:hAnsi="Times" w:eastAsia="Songti SC" w:cs="Times"/>
          <w:color w:val="000000"/>
          <w:kern w:val="0"/>
          <w:sz w:val="24"/>
          <w:highlight w:val="yellow"/>
        </w:rPr>
        <w:t>（5）在运营托管期内，服务商应根据确定的维护和大修计划，对项目设施定期进行例行大修。</w:t>
      </w:r>
    </w:p>
    <w:p>
      <w:pPr>
        <w:widowControl/>
        <w:tabs>
          <w:tab w:val="left" w:pos="0"/>
        </w:tabs>
        <w:spacing w:line="276" w:lineRule="auto"/>
        <w:jc w:val="left"/>
        <w:rPr>
          <w:rFonts w:ascii="Arial" w:hAnsi="Arial"/>
          <w:b/>
          <w:bCs/>
          <w:sz w:val="28"/>
          <w:szCs w:val="32"/>
          <w:lang w:val="zh-CN"/>
        </w:rPr>
      </w:pPr>
      <w:r>
        <w:rPr>
          <w:rFonts w:hint="eastAsia" w:ascii="Arial" w:hAnsi="Arial"/>
          <w:b/>
          <w:bCs/>
          <w:sz w:val="28"/>
          <w:szCs w:val="32"/>
          <w:lang w:val="zh-CN"/>
        </w:rPr>
        <w:t>六、现场人员基本配置要求</w:t>
      </w:r>
    </w:p>
    <w:p>
      <w:pPr>
        <w:widowControl/>
        <w:tabs>
          <w:tab w:val="left" w:pos="0"/>
        </w:tabs>
        <w:spacing w:line="276" w:lineRule="auto"/>
        <w:jc w:val="left"/>
        <w:rPr>
          <w:rFonts w:ascii="仿宋_GB2312" w:hAnsi="仿宋_GB2312" w:cs="仿宋_GB2312"/>
          <w:kern w:val="0"/>
          <w:szCs w:val="21"/>
          <w:lang w:bidi="ar"/>
        </w:rPr>
      </w:pPr>
      <w:r>
        <w:rPr>
          <w:rFonts w:hint="eastAsia" w:ascii="宋体" w:hAnsi="宋体"/>
          <w:b/>
          <w:sz w:val="24"/>
        </w:rPr>
        <w:t>1、自动监测操作工</w:t>
      </w:r>
    </w:p>
    <w:p>
      <w:pPr>
        <w:tabs>
          <w:tab w:val="left" w:pos="0"/>
        </w:tabs>
        <w:spacing w:line="360" w:lineRule="auto"/>
        <w:ind w:firstLine="480"/>
        <w:rPr>
          <w:rFonts w:ascii="仿宋_GB2312" w:hAnsi="仿宋_GB2312" w:cs="仿宋_GB2312"/>
          <w:kern w:val="0"/>
          <w:szCs w:val="21"/>
          <w:lang w:bidi="ar"/>
        </w:rPr>
      </w:pPr>
      <w:r>
        <w:rPr>
          <w:rFonts w:hint="eastAsia" w:ascii="仿宋_GB2312" w:hAnsi="仿宋_GB2312" w:cs="仿宋_GB2312"/>
          <w:kern w:val="0"/>
          <w:szCs w:val="21"/>
          <w:lang w:bidi="ar"/>
        </w:rPr>
        <w:t>（1）操作人员必须持证上岗《污水治理设施运行技能培训证书证》）；负责污水自动监测站的日常运行工作。负责巡检巡查；设备设施的巡检、维修、维护；</w:t>
      </w:r>
    </w:p>
    <w:p>
      <w:pPr>
        <w:tabs>
          <w:tab w:val="left" w:pos="0"/>
        </w:tabs>
        <w:spacing w:line="360" w:lineRule="auto"/>
        <w:ind w:firstLine="480"/>
        <w:rPr>
          <w:rFonts w:ascii="仿宋_GB2312" w:hAnsi="仿宋_GB2312" w:cs="仿宋_GB2312"/>
          <w:kern w:val="0"/>
          <w:szCs w:val="21"/>
          <w:lang w:bidi="ar"/>
        </w:rPr>
      </w:pPr>
      <w:r>
        <w:rPr>
          <w:rFonts w:hint="eastAsia" w:ascii="仿宋_GB2312" w:hAnsi="仿宋_GB2312" w:cs="仿宋_GB2312"/>
          <w:kern w:val="0"/>
          <w:szCs w:val="21"/>
          <w:lang w:bidi="ar"/>
        </w:rPr>
        <w:t>（2）必须全面了解业主污水自动监测处理工艺，熟悉国家环保相关法律法规、行业规定及流程。</w:t>
      </w:r>
    </w:p>
    <w:p>
      <w:pPr>
        <w:tabs>
          <w:tab w:val="left" w:pos="0"/>
        </w:tabs>
        <w:spacing w:line="360" w:lineRule="auto"/>
        <w:ind w:firstLine="480"/>
        <w:rPr>
          <w:rFonts w:ascii="仿宋_GB2312" w:hAnsi="仿宋_GB2312" w:cs="仿宋_GB2312"/>
          <w:kern w:val="0"/>
          <w:szCs w:val="21"/>
          <w:lang w:bidi="ar"/>
        </w:rPr>
      </w:pPr>
      <w:r>
        <w:rPr>
          <w:rFonts w:hint="eastAsia" w:ascii="仿宋_GB2312" w:hAnsi="仿宋_GB2312" w:cs="仿宋_GB2312"/>
          <w:kern w:val="0"/>
          <w:szCs w:val="21"/>
          <w:lang w:bidi="ar"/>
        </w:rPr>
        <w:t>（</w:t>
      </w:r>
      <w:r>
        <w:rPr>
          <w:rFonts w:ascii="仿宋_GB2312" w:hAnsi="仿宋_GB2312" w:cs="仿宋_GB2312"/>
          <w:kern w:val="0"/>
          <w:szCs w:val="21"/>
          <w:lang w:bidi="ar"/>
        </w:rPr>
        <w:t>3</w:t>
      </w:r>
      <w:r>
        <w:rPr>
          <w:rFonts w:hint="eastAsia" w:ascii="仿宋_GB2312" w:hAnsi="仿宋_GB2312" w:cs="仿宋_GB2312"/>
          <w:kern w:val="0"/>
          <w:szCs w:val="21"/>
          <w:lang w:bidi="ar"/>
        </w:rPr>
        <w:t>）熟悉了解现场设备操作规程及维护保养方法。负责每日运营现场及周边环境的清洁；</w:t>
      </w:r>
    </w:p>
    <w:p>
      <w:pPr>
        <w:tabs>
          <w:tab w:val="left" w:pos="0"/>
        </w:tabs>
        <w:spacing w:line="360" w:lineRule="auto"/>
        <w:ind w:firstLine="480"/>
        <w:rPr>
          <w:rFonts w:ascii="仿宋_GB2312" w:hAnsi="仿宋_GB2312" w:cs="仿宋_GB2312"/>
          <w:kern w:val="0"/>
          <w:szCs w:val="21"/>
          <w:lang w:bidi="ar"/>
        </w:rPr>
      </w:pPr>
      <w:r>
        <w:rPr>
          <w:rFonts w:hint="eastAsia" w:ascii="仿宋_GB2312" w:hAnsi="仿宋_GB2312" w:cs="仿宋_GB2312"/>
          <w:kern w:val="0"/>
          <w:szCs w:val="21"/>
          <w:lang w:bidi="ar"/>
        </w:rPr>
        <w:t>（</w:t>
      </w:r>
      <w:r>
        <w:rPr>
          <w:rFonts w:ascii="仿宋_GB2312" w:hAnsi="仿宋_GB2312" w:cs="仿宋_GB2312"/>
          <w:kern w:val="0"/>
          <w:szCs w:val="21"/>
          <w:lang w:bidi="ar"/>
        </w:rPr>
        <w:t>4</w:t>
      </w:r>
      <w:r>
        <w:rPr>
          <w:rFonts w:hint="eastAsia" w:ascii="仿宋_GB2312" w:hAnsi="仿宋_GB2312" w:cs="仿宋_GB2312"/>
          <w:kern w:val="0"/>
          <w:szCs w:val="21"/>
          <w:lang w:bidi="ar"/>
        </w:rPr>
        <w:t>）清楚熟悉每日工作内容。根据工作完成情况按要求做好记录。负责每日外排污水达标排放。</w:t>
      </w:r>
    </w:p>
    <w:p>
      <w:pPr>
        <w:tabs>
          <w:tab w:val="left" w:pos="0"/>
        </w:tabs>
        <w:spacing w:line="276" w:lineRule="auto"/>
        <w:rPr>
          <w:rFonts w:ascii="宋体" w:hAnsi="宋体"/>
          <w:b/>
          <w:sz w:val="24"/>
        </w:rPr>
      </w:pPr>
      <w:r>
        <w:rPr>
          <w:rFonts w:hint="eastAsia" w:ascii="宋体" w:hAnsi="宋体"/>
          <w:b/>
          <w:sz w:val="24"/>
        </w:rPr>
        <w:t>2、</w:t>
      </w:r>
      <w:r>
        <w:rPr>
          <w:rFonts w:ascii="宋体" w:hAnsi="宋体"/>
          <w:b/>
          <w:sz w:val="24"/>
        </w:rPr>
        <w:t>现场委派项目</w:t>
      </w:r>
      <w:r>
        <w:rPr>
          <w:rFonts w:hint="eastAsia" w:ascii="宋体" w:hAnsi="宋体"/>
          <w:b/>
          <w:sz w:val="24"/>
        </w:rPr>
        <w:t>技术负责人</w:t>
      </w:r>
    </w:p>
    <w:p>
      <w:pPr>
        <w:pStyle w:val="50"/>
        <w:widowControl/>
        <w:shd w:val="clear" w:color="auto" w:fill="FFFFFF"/>
        <w:spacing w:beforeAutospacing="0" w:afterAutospacing="0" w:line="450" w:lineRule="atLeast"/>
        <w:ind w:firstLine="420" w:firstLineChars="200"/>
        <w:rPr>
          <w:rFonts w:ascii="仿宋_GB2312" w:hAnsi="仿宋_GB2312" w:cs="仿宋_GB2312"/>
          <w:sz w:val="21"/>
          <w:szCs w:val="21"/>
          <w:lang w:bidi="ar"/>
        </w:rPr>
      </w:pPr>
      <w:r>
        <w:rPr>
          <w:rFonts w:ascii="仿宋_GB2312" w:hAnsi="仿宋_GB2312" w:cs="仿宋_GB2312"/>
          <w:sz w:val="21"/>
          <w:szCs w:val="21"/>
          <w:lang w:bidi="ar"/>
        </w:rPr>
        <w:t>1）负责主持运营维护全面工作，制定、实施本项目工作计划；</w:t>
      </w:r>
    </w:p>
    <w:p>
      <w:pPr>
        <w:pStyle w:val="50"/>
        <w:widowControl/>
        <w:shd w:val="clear" w:color="auto" w:fill="FFFFFF"/>
        <w:spacing w:beforeAutospacing="0" w:afterAutospacing="0" w:line="450" w:lineRule="atLeast"/>
        <w:ind w:firstLine="420" w:firstLineChars="200"/>
        <w:rPr>
          <w:rFonts w:ascii="仿宋_GB2312" w:hAnsi="仿宋_GB2312" w:cs="仿宋_GB2312"/>
          <w:sz w:val="21"/>
          <w:szCs w:val="21"/>
          <w:lang w:bidi="ar"/>
        </w:rPr>
      </w:pPr>
      <w:r>
        <w:rPr>
          <w:rFonts w:ascii="仿宋_GB2312" w:hAnsi="仿宋_GB2312" w:cs="仿宋_GB2312"/>
          <w:sz w:val="21"/>
          <w:szCs w:val="21"/>
          <w:lang w:bidi="ar"/>
        </w:rPr>
        <w:t>2）负责本项目人员管理、技能培训安排；</w:t>
      </w:r>
    </w:p>
    <w:p>
      <w:pPr>
        <w:pStyle w:val="50"/>
        <w:widowControl/>
        <w:shd w:val="clear" w:color="auto" w:fill="FFFFFF"/>
        <w:spacing w:beforeAutospacing="0" w:afterAutospacing="0" w:line="450" w:lineRule="atLeast"/>
        <w:ind w:firstLine="420" w:firstLineChars="200"/>
        <w:rPr>
          <w:rFonts w:ascii="仿宋_GB2312" w:hAnsi="仿宋_GB2312" w:cs="仿宋_GB2312"/>
          <w:sz w:val="21"/>
          <w:szCs w:val="21"/>
          <w:lang w:bidi="ar"/>
        </w:rPr>
      </w:pPr>
      <w:r>
        <w:rPr>
          <w:rFonts w:ascii="仿宋_GB2312" w:hAnsi="仿宋_GB2312" w:cs="仿宋_GB2312"/>
          <w:sz w:val="21"/>
          <w:szCs w:val="21"/>
          <w:lang w:bidi="ar"/>
        </w:rPr>
        <w:t>3）负责按照重庆市</w:t>
      </w:r>
      <w:r>
        <w:rPr>
          <w:rFonts w:hint="eastAsia" w:ascii="仿宋_GB2312" w:hAnsi="仿宋_GB2312" w:cs="仿宋_GB2312"/>
          <w:sz w:val="21"/>
          <w:szCs w:val="21"/>
          <w:lang w:bidi="ar"/>
        </w:rPr>
        <w:t>生态</w:t>
      </w:r>
      <w:r>
        <w:rPr>
          <w:rFonts w:ascii="仿宋_GB2312" w:hAnsi="仿宋_GB2312" w:cs="仿宋_GB2312"/>
          <w:sz w:val="21"/>
          <w:szCs w:val="21"/>
          <w:lang w:bidi="ar"/>
        </w:rPr>
        <w:t>环境局要求和规范，对现场进行巡检，督促现场技术人员按照规范进行运营维护工作；</w:t>
      </w:r>
    </w:p>
    <w:p>
      <w:pPr>
        <w:pStyle w:val="50"/>
        <w:widowControl/>
        <w:shd w:val="clear" w:color="auto" w:fill="FFFFFF"/>
        <w:spacing w:beforeAutospacing="0" w:afterAutospacing="0" w:line="450" w:lineRule="atLeast"/>
        <w:ind w:firstLine="420" w:firstLineChars="200"/>
        <w:rPr>
          <w:rFonts w:ascii="仿宋_GB2312" w:hAnsi="仿宋_GB2312" w:cs="仿宋_GB2312"/>
          <w:sz w:val="21"/>
          <w:szCs w:val="21"/>
          <w:lang w:bidi="ar"/>
        </w:rPr>
      </w:pPr>
      <w:r>
        <w:rPr>
          <w:rFonts w:ascii="仿宋_GB2312" w:hAnsi="仿宋_GB2312" w:cs="仿宋_GB2312"/>
          <w:sz w:val="21"/>
          <w:szCs w:val="21"/>
          <w:lang w:bidi="ar"/>
        </w:rPr>
        <w:t>4）负责审核现场运营情况、故障报告表、申购计划表等；</w:t>
      </w:r>
    </w:p>
    <w:p>
      <w:pPr>
        <w:pStyle w:val="50"/>
        <w:widowControl/>
        <w:shd w:val="clear" w:color="auto" w:fill="FFFFFF"/>
        <w:spacing w:beforeAutospacing="0" w:afterAutospacing="0" w:line="450" w:lineRule="atLeast"/>
        <w:ind w:firstLine="420" w:firstLineChars="200"/>
        <w:rPr>
          <w:rFonts w:ascii="仿宋_GB2312" w:hAnsi="仿宋_GB2312" w:cs="仿宋_GB2312"/>
          <w:sz w:val="21"/>
          <w:szCs w:val="21"/>
          <w:lang w:bidi="ar"/>
        </w:rPr>
      </w:pPr>
      <w:r>
        <w:rPr>
          <w:rFonts w:ascii="仿宋_GB2312" w:hAnsi="仿宋_GB2312" w:cs="仿宋_GB2312"/>
          <w:sz w:val="21"/>
          <w:szCs w:val="21"/>
          <w:lang w:bidi="ar"/>
        </w:rPr>
        <w:t>6）负责协调配合相关单位的工作；</w:t>
      </w:r>
    </w:p>
    <w:p>
      <w:pPr>
        <w:pStyle w:val="50"/>
        <w:widowControl/>
        <w:shd w:val="clear" w:color="auto" w:fill="FFFFFF"/>
        <w:spacing w:beforeAutospacing="0" w:afterAutospacing="0" w:line="450" w:lineRule="atLeast"/>
        <w:ind w:firstLine="420" w:firstLineChars="200"/>
        <w:rPr>
          <w:rFonts w:ascii="仿宋_GB2312" w:hAnsi="仿宋_GB2312" w:cs="仿宋_GB2312"/>
          <w:sz w:val="21"/>
          <w:szCs w:val="21"/>
          <w:lang w:bidi="ar"/>
        </w:rPr>
      </w:pPr>
      <w:r>
        <w:rPr>
          <w:rFonts w:ascii="仿宋_GB2312" w:hAnsi="仿宋_GB2312" w:cs="仿宋_GB2312"/>
          <w:sz w:val="21"/>
          <w:szCs w:val="21"/>
          <w:lang w:bidi="ar"/>
        </w:rPr>
        <w:t>7）负责定期总结运营情况，并根据运营工作的实际情况，制定相应的措施和方法；</w:t>
      </w:r>
    </w:p>
    <w:p>
      <w:pPr>
        <w:pStyle w:val="50"/>
        <w:widowControl/>
        <w:shd w:val="clear" w:color="auto" w:fill="FFFFFF"/>
        <w:spacing w:beforeAutospacing="0" w:afterAutospacing="0" w:line="450" w:lineRule="atLeast"/>
        <w:ind w:firstLine="420" w:firstLineChars="200"/>
        <w:rPr>
          <w:rFonts w:ascii="仿宋_GB2312" w:hAnsi="仿宋_GB2312" w:cs="仿宋_GB2312"/>
          <w:sz w:val="21"/>
          <w:szCs w:val="21"/>
          <w:lang w:bidi="ar"/>
        </w:rPr>
      </w:pPr>
      <w:r>
        <w:rPr>
          <w:rFonts w:ascii="仿宋_GB2312" w:hAnsi="仿宋_GB2312" w:cs="仿宋_GB2312"/>
          <w:sz w:val="21"/>
          <w:szCs w:val="21"/>
          <w:lang w:bidi="ar"/>
        </w:rPr>
        <w:t>8）负责与相关部门协调联系。</w:t>
      </w:r>
    </w:p>
    <w:p>
      <w:pPr>
        <w:tabs>
          <w:tab w:val="left" w:pos="0"/>
        </w:tabs>
        <w:spacing w:line="276" w:lineRule="auto"/>
        <w:rPr>
          <w:rFonts w:ascii="宋体" w:hAnsi="宋体"/>
          <w:b/>
          <w:sz w:val="24"/>
        </w:rPr>
      </w:pPr>
      <w:r>
        <w:rPr>
          <w:rFonts w:hint="eastAsia" w:ascii="宋体" w:hAnsi="宋体"/>
          <w:b/>
          <w:sz w:val="24"/>
        </w:rPr>
        <w:t>★3、人员工伤事故保险</w:t>
      </w:r>
    </w:p>
    <w:p>
      <w:pPr>
        <w:tabs>
          <w:tab w:val="left" w:pos="0"/>
        </w:tabs>
        <w:spacing w:line="360" w:lineRule="auto"/>
        <w:rPr>
          <w:rFonts w:ascii="宋体" w:hAnsi="宋体"/>
          <w:sz w:val="24"/>
        </w:rPr>
      </w:pPr>
      <w:r>
        <w:rPr>
          <w:rFonts w:hint="eastAsia" w:ascii="仿宋_GB2312" w:hAnsi="仿宋_GB2312" w:cs="仿宋_GB2312"/>
        </w:rPr>
        <w:t>★服务商应依照有关法律规定参加工伤保险，为其履行合同所雇佣的全部人员，缴纳工伤保险费。服务商因执行工作而造成采购人、服务商工作人员以及第三人损害的，由服务商承担全部责任。</w:t>
      </w:r>
    </w:p>
    <w:p>
      <w:pPr>
        <w:widowControl/>
        <w:tabs>
          <w:tab w:val="left" w:pos="0"/>
        </w:tabs>
        <w:spacing w:line="276" w:lineRule="auto"/>
        <w:jc w:val="left"/>
        <w:rPr>
          <w:rFonts w:ascii="Arial" w:hAnsi="Arial"/>
          <w:b/>
          <w:bCs/>
          <w:sz w:val="28"/>
          <w:szCs w:val="32"/>
          <w:lang w:val="zh-CN"/>
        </w:rPr>
      </w:pPr>
      <w:r>
        <w:rPr>
          <w:rFonts w:hint="eastAsia" w:ascii="Arial" w:hAnsi="Arial"/>
          <w:b/>
          <w:bCs/>
          <w:sz w:val="28"/>
          <w:szCs w:val="32"/>
          <w:lang w:val="zh-CN"/>
        </w:rPr>
        <w:t>★</w:t>
      </w:r>
      <w:r>
        <w:rPr>
          <w:rFonts w:hint="eastAsia" w:ascii="Arial" w:hAnsi="Arial"/>
          <w:b/>
          <w:bCs/>
          <w:sz w:val="28"/>
          <w:szCs w:val="32"/>
          <w:lang w:eastAsia="zh-Hans"/>
        </w:rPr>
        <w:t>七</w:t>
      </w:r>
      <w:r>
        <w:rPr>
          <w:rFonts w:hint="eastAsia" w:ascii="Arial" w:hAnsi="Arial"/>
          <w:b/>
          <w:bCs/>
          <w:sz w:val="28"/>
          <w:szCs w:val="32"/>
          <w:lang w:val="zh-CN"/>
        </w:rPr>
        <w:t>、技术要求</w:t>
      </w:r>
    </w:p>
    <w:p>
      <w:pPr>
        <w:pStyle w:val="50"/>
        <w:widowControl/>
        <w:shd w:val="clear" w:color="auto" w:fill="FFFFFF"/>
        <w:spacing w:beforeAutospacing="0" w:afterAutospacing="0" w:line="450" w:lineRule="atLeast"/>
        <w:rPr>
          <w:rFonts w:ascii="仿宋_GB2312" w:hAnsi="仿宋_GB2312" w:cs="仿宋_GB2312"/>
          <w:kern w:val="2"/>
          <w:sz w:val="21"/>
        </w:rPr>
      </w:pPr>
      <w:r>
        <w:rPr>
          <w:rFonts w:ascii="仿宋_GB2312" w:hAnsi="仿宋_GB2312" w:cs="仿宋_GB2312"/>
          <w:kern w:val="2"/>
          <w:sz w:val="21"/>
        </w:rPr>
        <w:t>（一）执行标准</w:t>
      </w:r>
    </w:p>
    <w:p>
      <w:pPr>
        <w:pStyle w:val="50"/>
        <w:widowControl/>
        <w:shd w:val="clear" w:color="auto" w:fill="FFFFFF"/>
        <w:spacing w:beforeAutospacing="0" w:afterAutospacing="0" w:line="450" w:lineRule="atLeast"/>
        <w:rPr>
          <w:rFonts w:ascii="仿宋_GB2312" w:hAnsi="仿宋_GB2312" w:cs="仿宋_GB2312"/>
          <w:kern w:val="2"/>
          <w:sz w:val="21"/>
        </w:rPr>
      </w:pPr>
      <w:r>
        <w:rPr>
          <w:rFonts w:ascii="仿宋_GB2312" w:hAnsi="仿宋_GB2312" w:cs="仿宋_GB2312"/>
          <w:kern w:val="2"/>
          <w:sz w:val="21"/>
        </w:rPr>
        <w:t>《排污许可证申请与核发技术规范-医疗机构》（HJ1105-2020)</w:t>
      </w:r>
    </w:p>
    <w:p>
      <w:pPr>
        <w:pStyle w:val="50"/>
        <w:widowControl/>
        <w:shd w:val="clear" w:color="auto" w:fill="FFFFFF"/>
        <w:spacing w:beforeAutospacing="0" w:afterAutospacing="0" w:line="450" w:lineRule="atLeast"/>
        <w:rPr>
          <w:rFonts w:ascii="仿宋_GB2312" w:hAnsi="仿宋_GB2312" w:cs="仿宋_GB2312"/>
          <w:kern w:val="2"/>
          <w:sz w:val="21"/>
        </w:rPr>
      </w:pPr>
      <w:r>
        <w:rPr>
          <w:rFonts w:ascii="仿宋_GB2312" w:hAnsi="仿宋_GB2312" w:cs="仿宋_GB2312"/>
          <w:kern w:val="2"/>
          <w:sz w:val="21"/>
        </w:rPr>
        <w:t>《医疗机构水污染物排放标准》(GB18466)</w:t>
      </w:r>
    </w:p>
    <w:p>
      <w:pPr>
        <w:pStyle w:val="50"/>
        <w:widowControl/>
        <w:shd w:val="clear" w:color="auto" w:fill="FFFFFF"/>
        <w:spacing w:beforeAutospacing="0" w:afterAutospacing="0" w:line="450" w:lineRule="atLeast"/>
        <w:rPr>
          <w:rFonts w:ascii="仿宋_GB2312" w:hAnsi="仿宋_GB2312" w:cs="仿宋_GB2312"/>
          <w:kern w:val="2"/>
          <w:sz w:val="21"/>
        </w:rPr>
      </w:pPr>
      <w:r>
        <w:rPr>
          <w:rFonts w:ascii="仿宋_GB2312" w:hAnsi="仿宋_GB2312" w:cs="仿宋_GB2312"/>
          <w:kern w:val="2"/>
          <w:sz w:val="21"/>
        </w:rPr>
        <w:t>《污水监测技术规范》（HJ91.1)</w:t>
      </w:r>
    </w:p>
    <w:p>
      <w:pPr>
        <w:pStyle w:val="50"/>
        <w:widowControl/>
        <w:shd w:val="clear" w:color="auto" w:fill="FFFFFF"/>
        <w:spacing w:beforeAutospacing="0" w:afterAutospacing="0" w:line="450" w:lineRule="atLeast"/>
        <w:rPr>
          <w:rFonts w:ascii="仿宋_GB2312" w:hAnsi="仿宋_GB2312" w:cs="仿宋_GB2312"/>
          <w:kern w:val="2"/>
          <w:sz w:val="21"/>
        </w:rPr>
      </w:pPr>
      <w:r>
        <w:rPr>
          <w:rFonts w:ascii="仿宋_GB2312" w:hAnsi="仿宋_GB2312" w:cs="仿宋_GB2312"/>
          <w:kern w:val="2"/>
          <w:sz w:val="21"/>
        </w:rPr>
        <w:t>《水污染源在线监测系统安装技术规范（试行）》（HJ/T353)</w:t>
      </w:r>
    </w:p>
    <w:p>
      <w:pPr>
        <w:pStyle w:val="50"/>
        <w:widowControl/>
        <w:shd w:val="clear" w:color="auto" w:fill="FFFFFF"/>
        <w:spacing w:beforeAutospacing="0" w:afterAutospacing="0" w:line="450" w:lineRule="atLeast"/>
        <w:rPr>
          <w:rFonts w:ascii="仿宋_GB2312" w:hAnsi="仿宋_GB2312" w:cs="仿宋_GB2312"/>
          <w:kern w:val="2"/>
          <w:sz w:val="21"/>
        </w:rPr>
      </w:pPr>
      <w:r>
        <w:rPr>
          <w:rFonts w:ascii="仿宋_GB2312" w:hAnsi="仿宋_GB2312" w:cs="仿宋_GB2312"/>
          <w:kern w:val="2"/>
          <w:sz w:val="21"/>
        </w:rPr>
        <w:t>《水污染源在线监测系统验收技术规范（试行）》（HJ/T354)</w:t>
      </w:r>
    </w:p>
    <w:p>
      <w:pPr>
        <w:pStyle w:val="50"/>
        <w:widowControl/>
        <w:shd w:val="clear" w:color="auto" w:fill="FFFFFF"/>
        <w:spacing w:beforeAutospacing="0" w:afterAutospacing="0" w:line="450" w:lineRule="atLeast"/>
        <w:rPr>
          <w:rFonts w:ascii="仿宋_GB2312" w:hAnsi="仿宋_GB2312" w:cs="仿宋_GB2312"/>
          <w:kern w:val="2"/>
          <w:sz w:val="21"/>
        </w:rPr>
      </w:pPr>
      <w:r>
        <w:rPr>
          <w:rFonts w:ascii="仿宋_GB2312" w:hAnsi="仿宋_GB2312" w:cs="仿宋_GB2312"/>
          <w:kern w:val="2"/>
          <w:sz w:val="21"/>
        </w:rPr>
        <w:t>《水污染源在线监测系统运行与考核技术规范（试行）》（HJ/T355)</w:t>
      </w:r>
    </w:p>
    <w:p>
      <w:pPr>
        <w:pStyle w:val="50"/>
        <w:widowControl/>
        <w:shd w:val="clear" w:color="auto" w:fill="FFFFFF"/>
        <w:spacing w:beforeAutospacing="0" w:afterAutospacing="0" w:line="450" w:lineRule="atLeast"/>
        <w:rPr>
          <w:rFonts w:ascii="仿宋_GB2312" w:hAnsi="仿宋_GB2312" w:cs="仿宋_GB2312"/>
          <w:kern w:val="2"/>
          <w:sz w:val="21"/>
        </w:rPr>
      </w:pPr>
      <w:r>
        <w:rPr>
          <w:rFonts w:ascii="仿宋_GB2312" w:hAnsi="仿宋_GB2312" w:cs="仿宋_GB2312"/>
          <w:kern w:val="2"/>
          <w:sz w:val="21"/>
        </w:rPr>
        <w:t>《水污染源在线监测系统数据有效性判别技术规范（试行）》（HJ/T356)</w:t>
      </w:r>
    </w:p>
    <w:p>
      <w:pPr>
        <w:pStyle w:val="50"/>
        <w:widowControl/>
        <w:shd w:val="clear" w:color="auto" w:fill="FFFFFF"/>
        <w:spacing w:beforeAutospacing="0" w:afterAutospacing="0" w:line="450" w:lineRule="atLeast"/>
        <w:rPr>
          <w:rFonts w:ascii="仿宋_GB2312" w:hAnsi="仿宋_GB2312" w:cs="仿宋_GB2312"/>
          <w:kern w:val="2"/>
          <w:sz w:val="21"/>
        </w:rPr>
      </w:pPr>
      <w:r>
        <w:rPr>
          <w:rFonts w:ascii="仿宋_GB2312" w:hAnsi="仿宋_GB2312" w:cs="仿宋_GB2312"/>
          <w:kern w:val="2"/>
          <w:sz w:val="21"/>
        </w:rPr>
        <w:t>《水污染源在线监测系统安装技术规范（试行）》（HJ/353-2019)</w:t>
      </w:r>
    </w:p>
    <w:p>
      <w:pPr>
        <w:tabs>
          <w:tab w:val="left" w:pos="0"/>
        </w:tabs>
        <w:spacing w:line="276" w:lineRule="auto"/>
        <w:ind w:firstLine="480"/>
        <w:rPr>
          <w:rFonts w:ascii="宋体" w:hAnsi="宋体"/>
          <w:b/>
          <w:sz w:val="24"/>
        </w:rPr>
      </w:pPr>
      <w:r>
        <w:rPr>
          <w:rFonts w:hint="eastAsia" w:ascii="宋体" w:hAnsi="宋体"/>
          <w:b/>
          <w:sz w:val="24"/>
        </w:rPr>
        <w:t>八、违约责任</w:t>
      </w:r>
    </w:p>
    <w:p>
      <w:pPr>
        <w:spacing w:line="360" w:lineRule="auto"/>
        <w:ind w:firstLine="480"/>
        <w:rPr>
          <w:rFonts w:ascii="仿宋_GB2312" w:hAnsi="仿宋_GB2312" w:cs="仿宋_GB2312"/>
        </w:rPr>
      </w:pPr>
      <w:r>
        <w:rPr>
          <w:rFonts w:hint="eastAsia" w:ascii="仿宋_GB2312" w:hAnsi="仿宋_GB2312" w:cs="仿宋_GB2312"/>
        </w:rPr>
        <w:t>1.运营托管期内，未按国家相关规定提供运营托管工作或未认真填写相关记录，发现一次处扣100元，半年内发现第二次加倍，以此类推。</w:t>
      </w:r>
    </w:p>
    <w:p>
      <w:pPr>
        <w:spacing w:line="360" w:lineRule="auto"/>
        <w:ind w:firstLine="480"/>
        <w:rPr>
          <w:rFonts w:ascii="仿宋_GB2312" w:hAnsi="仿宋_GB2312" w:cs="仿宋_GB2312"/>
        </w:rPr>
      </w:pPr>
      <w:r>
        <w:rPr>
          <w:rFonts w:hint="eastAsia" w:ascii="仿宋_GB2312" w:hAnsi="仿宋_GB2312" w:cs="仿宋_GB2312"/>
        </w:rPr>
        <w:t>2.运营托管期内，工作人员电话无故停机、关机，发现一次扣100元，半年内发现第二次加倍，以此类推。</w:t>
      </w:r>
    </w:p>
    <w:p>
      <w:pPr>
        <w:spacing w:line="360" w:lineRule="auto"/>
        <w:ind w:firstLine="480"/>
        <w:rPr>
          <w:rFonts w:ascii="仿宋_GB2312" w:hAnsi="仿宋_GB2312" w:cs="仿宋_GB2312"/>
        </w:rPr>
      </w:pPr>
      <w:r>
        <w:rPr>
          <w:rFonts w:hint="eastAsia" w:ascii="仿宋_GB2312" w:hAnsi="仿宋_GB2312" w:cs="仿宋_GB2312"/>
        </w:rPr>
        <w:t>3.运营托管期内，发生设备故障或停运，服务商未及时汇报，或服务商项目负责人未在15分钟内到达现场并处理故障，发现一次处扣200元，半年内发现第二次加倍，以此类推。</w:t>
      </w:r>
    </w:p>
    <w:p>
      <w:pPr>
        <w:spacing w:line="360" w:lineRule="auto"/>
        <w:ind w:firstLine="480"/>
        <w:rPr>
          <w:rFonts w:ascii="仿宋_GB2312" w:hAnsi="仿宋_GB2312" w:cs="仿宋_GB2312"/>
        </w:rPr>
      </w:pPr>
      <w:r>
        <w:rPr>
          <w:rFonts w:hint="eastAsia" w:ascii="仿宋_GB2312" w:hAnsi="仿宋_GB2312" w:cs="仿宋_GB2312"/>
        </w:rPr>
        <w:t>4.运营托管期内，若发现更换的零配件以次充好，假冒伪劣，发现一次扣500元，且不予支付零配件费用，已支付的从应付维保款项中扣除。</w:t>
      </w:r>
    </w:p>
    <w:p>
      <w:pPr>
        <w:spacing w:line="360" w:lineRule="auto"/>
        <w:ind w:firstLine="480"/>
        <w:rPr>
          <w:rFonts w:ascii="仿宋_GB2312" w:hAnsi="仿宋_GB2312" w:cs="仿宋_GB2312"/>
        </w:rPr>
      </w:pPr>
      <w:r>
        <w:rPr>
          <w:rFonts w:hint="eastAsia" w:ascii="仿宋_GB2312" w:hAnsi="仿宋_GB2312" w:cs="仿宋_GB2312"/>
        </w:rPr>
        <w:t>5.运营托管期内，发现未定期对现场工作人员进行培训，发现一次扣100元，半年度发现第二次加倍，以此类推。</w:t>
      </w:r>
    </w:p>
    <w:p>
      <w:pPr>
        <w:spacing w:line="360" w:lineRule="auto"/>
        <w:ind w:firstLine="480"/>
        <w:rPr>
          <w:rFonts w:ascii="仿宋_GB2312" w:hAnsi="仿宋_GB2312" w:cs="仿宋_GB2312"/>
        </w:rPr>
      </w:pPr>
      <w:r>
        <w:rPr>
          <w:rFonts w:hint="eastAsia" w:ascii="仿宋_GB2312" w:hAnsi="仿宋_GB2312" w:cs="仿宋_GB2312"/>
        </w:rPr>
        <w:t>6.运营托管期内，发现站内设备一周以内同一故障发生2次，扣200元。</w:t>
      </w:r>
    </w:p>
    <w:p>
      <w:pPr>
        <w:spacing w:line="360" w:lineRule="auto"/>
        <w:ind w:firstLine="480"/>
        <w:rPr>
          <w:rFonts w:ascii="仿宋_GB2312" w:hAnsi="仿宋_GB2312" w:cs="仿宋_GB2312"/>
        </w:rPr>
      </w:pPr>
      <w:r>
        <w:rPr>
          <w:rFonts w:hint="eastAsia" w:ascii="仿宋_GB2312" w:hAnsi="仿宋_GB2312" w:cs="仿宋_GB2312"/>
        </w:rPr>
        <w:t>7.在自动监测站运营托管期间，服务商必须按合同要求，对自动监测站站进行每周2次值守，采购人有权对此进行不定时检查。如果检查中发现值班人员无故脱岗，每次罚款100元，员工累计脱岗次数超过3次，采购人有权要求服务商对自动监测站脱岗值班人员进行更换；自动监测站岗位脱岗累计超过5次的，采购人有权终止合同，如因脱岗产生不良后果的，服务商还应承担所有责任。</w:t>
      </w:r>
    </w:p>
    <w:p>
      <w:pPr>
        <w:spacing w:line="360" w:lineRule="auto"/>
        <w:ind w:firstLine="480"/>
        <w:rPr>
          <w:rFonts w:ascii="仿宋_GB2312" w:hAnsi="仿宋_GB2312" w:cs="仿宋_GB2312"/>
        </w:rPr>
      </w:pPr>
      <w:r>
        <w:rPr>
          <w:rFonts w:hint="eastAsia" w:ascii="仿宋_GB2312" w:hAnsi="仿宋_GB2312" w:cs="仿宋_GB2312"/>
        </w:rPr>
        <w:t>9.经采购人检查发现，服务商未按照规定记录自动监测站运行情况的、检测相关的监测指标，服务商应按100元/次支付违约金，如服务商未按规定进行维护保养的，服务商应按200元/次支付违约金，如因服务商维修保养不及时导致不良后果的，除支付违约金外，服务商还应承担全部责任。</w:t>
      </w:r>
    </w:p>
    <w:p>
      <w:pPr>
        <w:spacing w:line="360" w:lineRule="auto"/>
        <w:ind w:firstLine="480"/>
        <w:rPr>
          <w:rFonts w:ascii="仿宋_GB2312" w:hAnsi="仿宋_GB2312" w:cs="仿宋_GB2312"/>
        </w:rPr>
      </w:pPr>
      <w:r>
        <w:rPr>
          <w:rFonts w:hint="eastAsia" w:ascii="仿宋_GB2312" w:hAnsi="仿宋_GB2312" w:cs="仿宋_GB2312"/>
        </w:rPr>
        <w:t>10.服务商运营期间，保证采购人的设备设施完好无损，正常运行，严格按照处理工艺执行，保证自动监测站达标，自动监测站站设备发生故障后，服务商未能在双方约定时间内对设备进行修复时，服务商按每日500元支付违约金。如果因服务商原因未对自动监测站站故障设备进行修复，经环保单位检查发现相应问题或造成不良后果的，必须在环保部门或采购人规定的时间内彻底整改，相关责任及由此造成的损失由服务商承担。</w:t>
      </w:r>
    </w:p>
    <w:p>
      <w:pPr>
        <w:spacing w:line="360" w:lineRule="auto"/>
        <w:ind w:firstLine="480"/>
        <w:rPr>
          <w:rFonts w:ascii="仿宋_GB2312" w:hAnsi="仿宋_GB2312" w:cs="仿宋_GB2312"/>
          <w:color w:val="FF0000"/>
        </w:rPr>
      </w:pPr>
      <w:r>
        <w:rPr>
          <w:rFonts w:hint="eastAsia" w:ascii="仿宋_GB2312" w:hAnsi="仿宋_GB2312" w:cs="仿宋_GB2312"/>
        </w:rPr>
        <w:t>★11.除不可抗力外，如果服务商导致自动监测站不达标而受环保部门通报、处罚，服务商除承担所有环保处罚、罚款及给采购人造成经济损失补偿，每年累计超过两次（含两次），采购人有权解除合同。如果服务商直接排放污水受环保部门通报、处罚，并造成外部水体严重污染引起一系列重大环境事件，服务商需承担所有环保处罚、罚款及给采购人造成经济损失补偿，且采购人有权解除合同。</w:t>
      </w:r>
    </w:p>
    <w:p>
      <w:pPr>
        <w:pStyle w:val="268"/>
        <w:spacing w:line="360" w:lineRule="auto"/>
        <w:ind w:firstLine="480" w:firstLineChars="200"/>
        <w:rPr>
          <w:rFonts w:ascii="仿宋_GB2312" w:hAnsi="仿宋_GB2312" w:cs="仿宋_GB2312"/>
          <w:kern w:val="2"/>
          <w:sz w:val="21"/>
        </w:rPr>
      </w:pPr>
      <w:r>
        <w:rPr>
          <w:rFonts w:hint="eastAsia" w:ascii="仿宋_GB2312" w:hAnsi="仿宋_GB2312" w:cs="仿宋_GB2312"/>
        </w:rPr>
        <w:t>★</w:t>
      </w:r>
      <w:r>
        <w:rPr>
          <w:rFonts w:hint="eastAsia" w:ascii="仿宋_GB2312" w:hAnsi="仿宋_GB2312" w:cs="仿宋_GB2312"/>
          <w:kern w:val="2"/>
          <w:sz w:val="21"/>
        </w:rPr>
        <w:t>12.因服务商的行为给采购人造成损害的，对于采购人因此而产生的全部损失（包括但不限于直接损失、间接损失以及因维权而支出的全部费用），如果服务商支付的违约金尚未足以赔付的，服务商还应当向采购人支付差额部分的款项作为对采购人的赔偿金。</w:t>
      </w:r>
    </w:p>
    <w:p>
      <w:pPr>
        <w:pStyle w:val="268"/>
        <w:spacing w:line="360" w:lineRule="auto"/>
        <w:ind w:firstLine="420" w:firstLineChars="200"/>
        <w:rPr>
          <w:rFonts w:ascii="仿宋_GB2312" w:hAnsi="仿宋_GB2312" w:cs="仿宋_GB2312"/>
          <w:kern w:val="2"/>
          <w:sz w:val="21"/>
        </w:rPr>
      </w:pPr>
      <w:r>
        <w:rPr>
          <w:rFonts w:hint="eastAsia" w:ascii="仿宋_GB2312" w:hAnsi="仿宋_GB2312" w:cs="仿宋_GB2312"/>
          <w:kern w:val="2"/>
          <w:sz w:val="21"/>
        </w:rPr>
        <w:t>13、对于服务商应当支付的违约金、赔偿金等，采购人有权从未支付的款项中预先扣除。</w:t>
      </w:r>
    </w:p>
    <w:p>
      <w:pPr>
        <w:pStyle w:val="268"/>
        <w:spacing w:line="360" w:lineRule="auto"/>
        <w:ind w:firstLine="420" w:firstLineChars="200"/>
        <w:rPr>
          <w:rFonts w:ascii="仿宋_GB2312" w:hAnsi="仿宋_GB2312" w:cs="仿宋_GB2312"/>
          <w:kern w:val="2"/>
          <w:sz w:val="21"/>
        </w:rPr>
      </w:pPr>
      <w:r>
        <w:rPr>
          <w:rFonts w:hint="eastAsia" w:ascii="仿宋_GB2312" w:hAnsi="仿宋_GB2312" w:cs="仿宋_GB2312"/>
          <w:kern w:val="2"/>
          <w:sz w:val="21"/>
        </w:rPr>
        <w:t>14、无论服务商是否支付赔偿金或违约金，均不因此导致服务商有权终止或解除合同，采购人仍有权继续要求服务商全面、按期履行合同义务。</w:t>
      </w:r>
    </w:p>
    <w:p>
      <w:pPr>
        <w:spacing w:line="360" w:lineRule="auto"/>
        <w:ind w:firstLine="480"/>
        <w:rPr>
          <w:rFonts w:ascii="仿宋_GB2312" w:hAnsi="仿宋_GB2312" w:cs="仿宋_GB2312"/>
        </w:rPr>
      </w:pPr>
      <w:r>
        <w:rPr>
          <w:rFonts w:hint="eastAsia" w:ascii="仿宋_GB2312" w:hAnsi="仿宋_GB2312" w:cs="仿宋_GB2312"/>
        </w:rPr>
        <w:t>★15.如遇以下情况，采购人有权单方面终止合同，同时不向服务商支付运营费用，已经支付的运营费用，并赔偿甲方及第三方损失：</w:t>
      </w:r>
    </w:p>
    <w:p>
      <w:pPr>
        <w:spacing w:line="360" w:lineRule="auto"/>
        <w:ind w:firstLine="480"/>
        <w:rPr>
          <w:rFonts w:ascii="仿宋_GB2312" w:hAnsi="仿宋_GB2312" w:cs="仿宋_GB2312"/>
        </w:rPr>
      </w:pPr>
      <w:r>
        <w:rPr>
          <w:rFonts w:hint="eastAsia" w:ascii="仿宋_GB2312" w:hAnsi="仿宋_GB2312" w:cs="仿宋_GB2312"/>
        </w:rPr>
        <w:t>(1)服务商三次以上未按照合同的约定履行其义务；</w:t>
      </w:r>
    </w:p>
    <w:p>
      <w:pPr>
        <w:spacing w:line="360" w:lineRule="auto"/>
        <w:ind w:firstLine="480"/>
        <w:rPr>
          <w:rFonts w:ascii="仿宋_GB2312" w:hAnsi="仿宋_GB2312" w:cs="仿宋_GB2312"/>
        </w:rPr>
      </w:pPr>
      <w:r>
        <w:rPr>
          <w:rFonts w:hint="eastAsia" w:ascii="仿宋_GB2312" w:hAnsi="仿宋_GB2312" w:cs="仿宋_GB2312"/>
        </w:rPr>
        <w:t>(2)经采购人通知后，服务商不进行运营管理或整改的；</w:t>
      </w:r>
    </w:p>
    <w:p>
      <w:pPr>
        <w:spacing w:line="360" w:lineRule="auto"/>
        <w:ind w:firstLine="480"/>
        <w:rPr>
          <w:rFonts w:ascii="仿宋_GB2312" w:hAnsi="仿宋_GB2312" w:cs="仿宋_GB2312"/>
        </w:rPr>
      </w:pPr>
      <w:r>
        <w:rPr>
          <w:rFonts w:hint="eastAsia" w:ascii="仿宋_GB2312" w:hAnsi="仿宋_GB2312" w:cs="仿宋_GB2312"/>
        </w:rPr>
        <w:t>(3)采购人认为在合同期内服务商明显不能继续胜任其工作；</w:t>
      </w:r>
    </w:p>
    <w:p>
      <w:pPr>
        <w:spacing w:line="360" w:lineRule="auto"/>
        <w:ind w:firstLine="480"/>
        <w:rPr>
          <w:rFonts w:ascii="仿宋_GB2312" w:hAnsi="仿宋_GB2312" w:cs="仿宋_GB2312"/>
        </w:rPr>
      </w:pPr>
      <w:r>
        <w:rPr>
          <w:rFonts w:hint="eastAsia" w:ascii="仿宋_GB2312" w:hAnsi="仿宋_GB2312" w:cs="仿宋_GB2312"/>
        </w:rPr>
        <w:t>(4)因服务商或服务商员工的原因给采购人或第三方造成重大损失的；</w:t>
      </w:r>
    </w:p>
    <w:p>
      <w:pPr>
        <w:spacing w:line="360" w:lineRule="auto"/>
        <w:ind w:firstLine="480"/>
        <w:rPr>
          <w:rFonts w:ascii="仿宋_GB2312" w:hAnsi="仿宋_GB2312" w:cs="仿宋_GB2312"/>
        </w:rPr>
      </w:pPr>
      <w:r>
        <w:rPr>
          <w:rFonts w:hint="eastAsia" w:ascii="仿宋_GB2312" w:hAnsi="仿宋_GB2312" w:cs="仿宋_GB2312"/>
        </w:rPr>
        <w:t>(5)未经采购人同意，服务商擅自更换常驻维保人员。</w:t>
      </w:r>
    </w:p>
    <w:p>
      <w:pPr>
        <w:spacing w:line="360" w:lineRule="auto"/>
        <w:ind w:firstLine="480"/>
        <w:rPr>
          <w:rFonts w:ascii="仿宋_GB2312" w:hAnsi="仿宋_GB2312" w:cs="仿宋_GB2312"/>
        </w:rPr>
      </w:pPr>
      <w:r>
        <w:rPr>
          <w:rFonts w:hint="eastAsia" w:ascii="仿宋_GB2312" w:hAnsi="仿宋_GB2312" w:cs="仿宋_GB2312"/>
        </w:rPr>
        <w:t>19.采购人无正当理由未按照约定向服务商支付费用的，每延误一日应当向乙方服务商支付延误部分费用0.05%的违约金。</w:t>
      </w:r>
    </w:p>
    <w:p>
      <w:pPr>
        <w:rPr>
          <w:rFonts w:ascii="宋体" w:hAnsi="宋体"/>
          <w:b/>
          <w:sz w:val="24"/>
        </w:rPr>
      </w:pPr>
      <w:r>
        <w:rPr>
          <w:rFonts w:hint="eastAsia" w:ascii="宋体" w:hAnsi="宋体"/>
          <w:b/>
          <w:sz w:val="24"/>
        </w:rPr>
        <w:t>九、项目其他要求</w:t>
      </w:r>
    </w:p>
    <w:p>
      <w:pPr>
        <w:pStyle w:val="50"/>
        <w:widowControl/>
        <w:spacing w:beforeAutospacing="0" w:afterAutospacing="0" w:line="450" w:lineRule="atLeast"/>
        <w:ind w:left="1260" w:hanging="420"/>
        <w:rPr>
          <w:rFonts w:ascii="微软雅黑" w:hAnsi="微软雅黑" w:eastAsia="微软雅黑" w:cs="微软雅黑"/>
          <w:color w:val="000000"/>
          <w:sz w:val="21"/>
          <w:szCs w:val="21"/>
        </w:rPr>
      </w:pPr>
      <w:r>
        <w:rPr>
          <w:rFonts w:ascii="微软雅黑" w:hAnsi="微软雅黑" w:eastAsia="微软雅黑" w:cs="微软雅黑"/>
          <w:color w:val="000000"/>
          <w:sz w:val="21"/>
          <w:szCs w:val="21"/>
        </w:rPr>
        <w:t>维保服务质量保障、设备运行情况</w:t>
      </w:r>
    </w:p>
    <w:p>
      <w:pPr>
        <w:pStyle w:val="50"/>
        <w:widowControl/>
        <w:spacing w:beforeAutospacing="0" w:afterAutospacing="0" w:line="450" w:lineRule="atLeast"/>
        <w:ind w:firstLine="420" w:firstLineChars="200"/>
        <w:rPr>
          <w:rFonts w:ascii="微软雅黑" w:hAnsi="微软雅黑" w:eastAsia="微软雅黑" w:cs="微软雅黑"/>
          <w:color w:val="000000"/>
          <w:sz w:val="21"/>
          <w:szCs w:val="21"/>
        </w:rPr>
      </w:pPr>
      <w:r>
        <w:rPr>
          <w:rFonts w:ascii="微软雅黑" w:hAnsi="微软雅黑" w:eastAsia="微软雅黑" w:cs="微软雅黑"/>
          <w:color w:val="000000"/>
          <w:sz w:val="21"/>
          <w:szCs w:val="21"/>
        </w:rPr>
        <w:t>1、工艺设备未出现大的故障，设备出现故障，接到招标方电话2小时内赶到现场处理解决。一般故障排除时间不超过2小时，复杂故障排除时间不超过24小时。</w:t>
      </w:r>
    </w:p>
    <w:p>
      <w:pPr>
        <w:pStyle w:val="50"/>
        <w:widowControl/>
        <w:spacing w:beforeAutospacing="0" w:afterAutospacing="0" w:line="450" w:lineRule="atLeast"/>
        <w:ind w:firstLine="420" w:firstLineChars="200"/>
        <w:rPr>
          <w:rFonts w:ascii="微软雅黑" w:hAnsi="微软雅黑" w:eastAsia="微软雅黑" w:cs="微软雅黑"/>
          <w:color w:val="000000"/>
          <w:sz w:val="21"/>
          <w:szCs w:val="21"/>
        </w:rPr>
      </w:pPr>
      <w:r>
        <w:rPr>
          <w:rFonts w:ascii="微软雅黑" w:hAnsi="微软雅黑" w:eastAsia="微软雅黑" w:cs="微软雅黑"/>
          <w:color w:val="000000"/>
          <w:sz w:val="21"/>
          <w:szCs w:val="21"/>
        </w:rPr>
        <w:t>2、巡查到位，将安全隐患及时解决，未有投诉发生（ ）</w:t>
      </w:r>
    </w:p>
    <w:p>
      <w:pPr>
        <w:pStyle w:val="50"/>
        <w:widowControl/>
        <w:spacing w:beforeAutospacing="0" w:afterAutospacing="0" w:line="450" w:lineRule="atLeast"/>
        <w:ind w:firstLine="420" w:firstLineChars="200"/>
        <w:rPr>
          <w:rFonts w:ascii="微软雅黑" w:hAnsi="微软雅黑" w:eastAsia="微软雅黑" w:cs="微软雅黑"/>
          <w:color w:val="000000"/>
          <w:sz w:val="21"/>
          <w:szCs w:val="21"/>
        </w:rPr>
      </w:pPr>
      <w:r>
        <w:rPr>
          <w:rFonts w:ascii="微软雅黑" w:hAnsi="微软雅黑" w:eastAsia="微软雅黑" w:cs="微软雅黑"/>
          <w:color w:val="000000"/>
          <w:sz w:val="21"/>
          <w:szCs w:val="21"/>
        </w:rPr>
        <w:t>3、作业操作标准化流程，现场未出现安全事故（ ）</w:t>
      </w:r>
    </w:p>
    <w:p>
      <w:pPr>
        <w:pStyle w:val="50"/>
        <w:widowControl/>
        <w:spacing w:beforeAutospacing="0" w:afterAutospacing="0" w:line="450" w:lineRule="atLeast"/>
        <w:ind w:firstLine="420" w:firstLineChars="200"/>
        <w:rPr>
          <w:rFonts w:ascii="微软雅黑" w:hAnsi="微软雅黑" w:eastAsia="微软雅黑" w:cs="微软雅黑"/>
          <w:color w:val="000000"/>
          <w:sz w:val="21"/>
          <w:szCs w:val="21"/>
        </w:rPr>
      </w:pPr>
      <w:r>
        <w:rPr>
          <w:rFonts w:ascii="微软雅黑" w:hAnsi="微软雅黑" w:eastAsia="微软雅黑" w:cs="微软雅黑"/>
          <w:color w:val="000000"/>
          <w:sz w:val="21"/>
          <w:szCs w:val="21"/>
        </w:rPr>
        <w:t>4、施工时公共实施的保护较完好，医院未有管理程序混乱现象（ ）</w:t>
      </w:r>
    </w:p>
    <w:p>
      <w:pPr>
        <w:pStyle w:val="50"/>
        <w:widowControl/>
        <w:spacing w:beforeAutospacing="0" w:afterAutospacing="0" w:line="450" w:lineRule="atLeast"/>
        <w:ind w:firstLine="420" w:firstLineChars="200"/>
        <w:rPr>
          <w:rFonts w:ascii="微软雅黑" w:hAnsi="微软雅黑" w:eastAsia="微软雅黑" w:cs="微软雅黑"/>
          <w:color w:val="000000"/>
          <w:sz w:val="21"/>
          <w:szCs w:val="21"/>
        </w:rPr>
      </w:pPr>
      <w:r>
        <w:rPr>
          <w:rFonts w:ascii="微软雅黑" w:hAnsi="微软雅黑" w:eastAsia="微软雅黑" w:cs="微软雅黑"/>
          <w:color w:val="000000"/>
          <w:sz w:val="21"/>
          <w:szCs w:val="21"/>
        </w:rPr>
        <w:t>5、严格按照安全防护要求进行操作（ ）</w:t>
      </w:r>
    </w:p>
    <w:p>
      <w:pPr>
        <w:pStyle w:val="50"/>
        <w:widowControl/>
        <w:spacing w:beforeAutospacing="0" w:afterAutospacing="0" w:line="450" w:lineRule="atLeast"/>
        <w:ind w:firstLine="420" w:firstLineChars="200"/>
        <w:rPr>
          <w:rFonts w:ascii="微软雅黑" w:hAnsi="微软雅黑" w:eastAsia="微软雅黑" w:cs="微软雅黑"/>
          <w:color w:val="000000"/>
          <w:sz w:val="21"/>
          <w:szCs w:val="21"/>
        </w:rPr>
      </w:pPr>
      <w:r>
        <w:rPr>
          <w:rFonts w:ascii="微软雅黑" w:hAnsi="微软雅黑" w:eastAsia="微软雅黑" w:cs="微软雅黑"/>
          <w:color w:val="000000"/>
          <w:sz w:val="21"/>
          <w:szCs w:val="21"/>
        </w:rPr>
        <w:t>6、设备零配件、耗材更换及时更换，有记录（ ）</w:t>
      </w:r>
    </w:p>
    <w:p>
      <w:pPr>
        <w:tabs>
          <w:tab w:val="left" w:pos="0"/>
        </w:tabs>
        <w:ind w:firstLine="480"/>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7.知识产权</w:t>
      </w:r>
    </w:p>
    <w:p>
      <w:pPr>
        <w:snapToGrid w:val="0"/>
        <w:spacing w:line="400" w:lineRule="exact"/>
        <w:ind w:firstLine="540"/>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400" w:lineRule="exact"/>
        <w:ind w:firstLine="540"/>
        <w:rPr>
          <w:rFonts w:ascii="仿宋_GB2312" w:hAnsi="仿宋_GB2312" w:cs="仿宋_GB2312"/>
        </w:rPr>
      </w:pPr>
      <w:r>
        <w:rPr>
          <w:rFonts w:hint="eastAsia" w:ascii="仿宋_GB2312" w:hAnsi="仿宋_GB2312" w:cs="仿宋_GB2312"/>
        </w:rPr>
        <w:t>注：（若涉及软件开发等服务类项目知识产权的，知识产权归采购人所有）。</w:t>
      </w:r>
    </w:p>
    <w:p>
      <w:pPr>
        <w:pStyle w:val="3"/>
        <w:spacing w:before="0" w:after="0" w:line="560" w:lineRule="exact"/>
        <w:rPr>
          <w:rFonts w:ascii="黑体" w:hAnsi="黑体"/>
          <w:b w:val="0"/>
          <w:color w:val="000000" w:themeColor="text1"/>
        </w:rPr>
      </w:pPr>
    </w:p>
    <w:p/>
    <w:p/>
    <w:p/>
    <w:p/>
    <w:p/>
    <w:p/>
    <w:p/>
    <w:p/>
    <w:p/>
    <w:p/>
    <w:p/>
    <w:p/>
    <w:p/>
    <w:p/>
    <w:p>
      <w:pPr>
        <w:pStyle w:val="3"/>
        <w:spacing w:before="0" w:after="0" w:line="560" w:lineRule="exact"/>
        <w:jc w:val="center"/>
        <w:rPr>
          <w:rFonts w:ascii="黑体" w:hAnsi="黑体"/>
          <w:b w:val="0"/>
          <w:color w:val="000000" w:themeColor="text1"/>
        </w:rPr>
      </w:pPr>
      <w:r>
        <w:rPr>
          <w:rFonts w:hint="eastAsia" w:ascii="黑体" w:hAnsi="黑体"/>
          <w:b w:val="0"/>
          <w:color w:val="000000" w:themeColor="text1"/>
        </w:rPr>
        <w:t>第四篇  磋商项目服务需求</w:t>
      </w:r>
      <w:bookmarkEnd w:id="42"/>
      <w:bookmarkEnd w:id="45"/>
    </w:p>
    <w:p>
      <w:pPr>
        <w:pStyle w:val="4"/>
        <w:spacing w:before="0" w:after="0" w:line="560" w:lineRule="exact"/>
        <w:rPr>
          <w:rFonts w:ascii="宋体" w:hAnsi="宋体"/>
          <w:bCs w:val="0"/>
          <w:sz w:val="24"/>
          <w:szCs w:val="24"/>
        </w:rPr>
      </w:pPr>
      <w:bookmarkStart w:id="47" w:name="_Toc344475120"/>
      <w:bookmarkStart w:id="48" w:name="_Toc29543181"/>
      <w:bookmarkStart w:id="49" w:name="_Toc11641055"/>
      <w:bookmarkStart w:id="50" w:name="_Toc12789059"/>
      <w:bookmarkStart w:id="51" w:name="_Toc29543189"/>
      <w:r>
        <w:rPr>
          <w:rFonts w:hint="eastAsia" w:ascii="宋体" w:hAnsi="宋体"/>
          <w:bCs w:val="0"/>
          <w:sz w:val="24"/>
          <w:szCs w:val="24"/>
        </w:rPr>
        <w:t>一、交货时间、地点及验收方式</w:t>
      </w:r>
      <w:bookmarkEnd w:id="47"/>
      <w:bookmarkEnd w:id="48"/>
    </w:p>
    <w:p>
      <w:pPr>
        <w:spacing w:line="360" w:lineRule="auto"/>
        <w:ind w:firstLine="480" w:firstLineChars="200"/>
        <w:rPr>
          <w:rFonts w:ascii="宋体" w:hAnsi="宋体" w:cs="宋体"/>
          <w:sz w:val="24"/>
        </w:rPr>
      </w:pPr>
      <w:r>
        <w:rPr>
          <w:rFonts w:hint="eastAsia" w:ascii="宋体" w:hAnsi="宋体" w:cs="宋体"/>
          <w:sz w:val="24"/>
        </w:rPr>
        <w:t>（一）服务期：服务期1年，服务期从安装调试验收合格，并正常运行开始计算。</w:t>
      </w:r>
    </w:p>
    <w:p>
      <w:pPr>
        <w:pStyle w:val="33"/>
        <w:spacing w:line="560" w:lineRule="exact"/>
        <w:ind w:firstLine="480"/>
        <w:rPr>
          <w:rFonts w:ascii="宋体" w:hAnsi="宋体" w:eastAsia="宋体" w:cs="宋体"/>
          <w:spacing w:val="0"/>
          <w:sz w:val="24"/>
        </w:rPr>
      </w:pPr>
      <w:r>
        <w:rPr>
          <w:rFonts w:hint="eastAsia" w:ascii="宋体" w:hAnsi="宋体" w:eastAsia="宋体" w:cs="宋体"/>
          <w:spacing w:val="0"/>
          <w:sz w:val="24"/>
        </w:rPr>
        <w:t>（二）交货地点</w:t>
      </w:r>
    </w:p>
    <w:p>
      <w:pPr>
        <w:pStyle w:val="33"/>
        <w:spacing w:line="560" w:lineRule="exact"/>
        <w:ind w:firstLine="660" w:firstLineChars="300"/>
        <w:rPr>
          <w:rFonts w:ascii="宋体" w:hAnsi="宋体" w:eastAsia="宋体" w:cs="宋体"/>
          <w:spacing w:val="0"/>
          <w:sz w:val="24"/>
        </w:rPr>
      </w:pPr>
      <w:r>
        <w:rPr>
          <w:rFonts w:hint="eastAsia" w:ascii="宋体" w:hAnsi="宋体" w:eastAsia="宋体" w:cs="宋体"/>
          <w:spacing w:val="0"/>
          <w:sz w:val="22"/>
          <w:szCs w:val="22"/>
        </w:rPr>
        <w:t>交货地点：重庆市江北区中医院，采购人指定地点。</w:t>
      </w:r>
    </w:p>
    <w:p>
      <w:pPr>
        <w:spacing w:line="360" w:lineRule="auto"/>
        <w:ind w:firstLine="480" w:firstLineChars="200"/>
        <w:rPr>
          <w:rFonts w:ascii="宋体" w:hAnsi="宋体" w:cs="宋体"/>
          <w:sz w:val="24"/>
        </w:rPr>
      </w:pPr>
      <w:r>
        <w:rPr>
          <w:rFonts w:hint="eastAsia" w:ascii="宋体" w:hAnsi="宋体" w:cs="宋体"/>
          <w:sz w:val="24"/>
        </w:rPr>
        <w:t>（三）工期：</w:t>
      </w:r>
      <w:r>
        <w:rPr>
          <w:rFonts w:hint="eastAsia" w:ascii="宋体" w:hAnsi="宋体" w:cs="宋体"/>
          <w:color w:val="0000FF"/>
          <w:sz w:val="24"/>
        </w:rPr>
        <w:t>45个工作日</w:t>
      </w:r>
      <w:r>
        <w:rPr>
          <w:rFonts w:hint="eastAsia" w:ascii="宋体" w:hAnsi="宋体" w:cs="宋体"/>
          <w:sz w:val="24"/>
        </w:rPr>
        <w:t>（具体开工时间接院方通知）</w:t>
      </w:r>
    </w:p>
    <w:p>
      <w:pPr>
        <w:spacing w:line="360" w:lineRule="auto"/>
        <w:ind w:firstLine="480" w:firstLineChars="200"/>
        <w:rPr>
          <w:rFonts w:ascii="宋体" w:hAnsi="宋体" w:cs="宋体"/>
          <w:sz w:val="24"/>
        </w:rPr>
      </w:pPr>
      <w:r>
        <w:rPr>
          <w:rFonts w:hint="eastAsia" w:ascii="宋体" w:hAnsi="宋体" w:cs="宋体"/>
          <w:sz w:val="24"/>
        </w:rPr>
        <w:t>（四）验收方式：在项目实施完成后，照国家标准要求以及合同，由比选人组织相关单位及投标人共同进行验收，并完成重庆市生态环境局江北分局备案。</w:t>
      </w:r>
      <w:bookmarkStart w:id="52" w:name="_Toc344475121"/>
      <w:bookmarkStart w:id="53" w:name="_Toc29543182"/>
    </w:p>
    <w:p>
      <w:pPr>
        <w:pStyle w:val="4"/>
        <w:spacing w:before="0" w:after="0" w:line="400" w:lineRule="exact"/>
        <w:rPr>
          <w:rFonts w:ascii="宋体" w:hAnsi="宋体" w:cs="宋体"/>
          <w:sz w:val="24"/>
          <w:szCs w:val="24"/>
        </w:rPr>
      </w:pPr>
      <w:bookmarkStart w:id="54" w:name="_Toc10507"/>
      <w:r>
        <w:rPr>
          <w:rFonts w:hint="eastAsia" w:ascii="宋体" w:hAnsi="宋体" w:cs="宋体"/>
          <w:sz w:val="24"/>
          <w:szCs w:val="24"/>
        </w:rPr>
        <w:t>二、</w:t>
      </w:r>
      <w:bookmarkStart w:id="55" w:name="_Toc398650620"/>
      <w:r>
        <w:rPr>
          <w:rFonts w:hint="eastAsia" w:ascii="宋体" w:hAnsi="宋体" w:cs="宋体"/>
          <w:sz w:val="24"/>
          <w:szCs w:val="24"/>
        </w:rPr>
        <w:t>质量保证及售后服务</w:t>
      </w:r>
      <w:bookmarkEnd w:id="54"/>
      <w:bookmarkEnd w:id="55"/>
    </w:p>
    <w:p>
      <w:pPr>
        <w:spacing w:line="360" w:lineRule="auto"/>
        <w:ind w:firstLine="480" w:firstLineChars="200"/>
        <w:rPr>
          <w:rFonts w:ascii="宋体" w:hAnsi="宋体" w:cs="宋体"/>
          <w:sz w:val="24"/>
        </w:rPr>
      </w:pPr>
      <w:r>
        <w:rPr>
          <w:rFonts w:hint="eastAsia" w:ascii="宋体" w:hAnsi="宋体" w:cs="宋体"/>
          <w:sz w:val="24"/>
        </w:rPr>
        <w:t>（一）产品质量保证期</w:t>
      </w:r>
    </w:p>
    <w:p>
      <w:pPr>
        <w:spacing w:line="360" w:lineRule="auto"/>
        <w:ind w:firstLine="480" w:firstLineChars="200"/>
        <w:rPr>
          <w:rFonts w:ascii="宋体" w:hAnsi="宋体" w:cs="宋体"/>
          <w:sz w:val="24"/>
        </w:rPr>
      </w:pPr>
      <w:r>
        <w:rPr>
          <w:rFonts w:hint="eastAsia" w:ascii="宋体" w:hAnsi="宋体" w:cs="宋体"/>
          <w:sz w:val="24"/>
        </w:rPr>
        <w:t>1. 供应商应明确承诺：质保期 1 年（自设备安装调试验收合格之日起）。</w:t>
      </w:r>
    </w:p>
    <w:p>
      <w:pPr>
        <w:spacing w:line="360" w:lineRule="auto"/>
        <w:ind w:firstLine="480" w:firstLineChars="200"/>
        <w:rPr>
          <w:rFonts w:ascii="宋体" w:hAnsi="宋体" w:cs="宋体"/>
          <w:sz w:val="24"/>
        </w:rPr>
      </w:pPr>
      <w:r>
        <w:rPr>
          <w:rFonts w:hint="eastAsia" w:ascii="宋体" w:hAnsi="宋体" w:cs="宋体"/>
          <w:sz w:val="24"/>
        </w:rPr>
        <w:t>2.采购货物属于国家规定“三包”范围的，其产品质量保证期不得低于“三包”规定。</w:t>
      </w:r>
    </w:p>
    <w:p>
      <w:pPr>
        <w:spacing w:line="360" w:lineRule="auto"/>
        <w:ind w:firstLine="480" w:firstLineChars="200"/>
        <w:rPr>
          <w:rFonts w:ascii="宋体" w:hAnsi="宋体" w:cs="宋体"/>
          <w:sz w:val="24"/>
        </w:rPr>
      </w:pPr>
      <w:r>
        <w:rPr>
          <w:rFonts w:hint="eastAsia" w:ascii="宋体" w:hAnsi="宋体" w:cs="宋体"/>
          <w:sz w:val="24"/>
        </w:rPr>
        <w:t>3.供应商的质量保证期承诺优于国家“三包”规定的，按供应商实际承诺执行。</w:t>
      </w:r>
    </w:p>
    <w:p>
      <w:pPr>
        <w:spacing w:line="360" w:lineRule="auto"/>
        <w:ind w:firstLine="480" w:firstLineChars="200"/>
        <w:rPr>
          <w:rFonts w:ascii="宋体" w:hAnsi="宋体" w:cs="宋体"/>
          <w:sz w:val="24"/>
        </w:rPr>
      </w:pPr>
      <w:r>
        <w:rPr>
          <w:rFonts w:hint="eastAsia" w:ascii="宋体" w:hAnsi="宋体" w:cs="宋体"/>
          <w:sz w:val="24"/>
        </w:rPr>
        <w:t>（二）售后服务内容</w:t>
      </w:r>
    </w:p>
    <w:p>
      <w:pPr>
        <w:spacing w:line="360" w:lineRule="auto"/>
        <w:ind w:firstLine="480" w:firstLineChars="200"/>
        <w:rPr>
          <w:rFonts w:ascii="宋体" w:hAnsi="宋体" w:cs="宋体"/>
          <w:sz w:val="24"/>
        </w:rPr>
      </w:pPr>
      <w:r>
        <w:rPr>
          <w:rFonts w:hint="eastAsia" w:ascii="宋体" w:hAnsi="宋体" w:cs="宋体"/>
          <w:sz w:val="24"/>
        </w:rPr>
        <w:t>供应商和制造商在质量保证期内应当为采购人提供以下技术支持服务：</w:t>
      </w:r>
    </w:p>
    <w:p>
      <w:pPr>
        <w:spacing w:line="360" w:lineRule="auto"/>
        <w:ind w:firstLine="480" w:firstLineChars="200"/>
        <w:rPr>
          <w:rFonts w:ascii="宋体" w:hAnsi="宋体" w:cs="宋体"/>
          <w:sz w:val="24"/>
        </w:rPr>
      </w:pPr>
      <w:r>
        <w:rPr>
          <w:rFonts w:hint="eastAsia" w:ascii="宋体" w:hAnsi="宋体" w:cs="宋体"/>
          <w:sz w:val="24"/>
        </w:rPr>
        <w:t>（1）电话咨询。供应商应当为采购人提供技术援助电话，2小时内解答采购人在使用中遇到的问题，及时为采购人提出解决问题的建议。</w:t>
      </w:r>
    </w:p>
    <w:p>
      <w:pPr>
        <w:spacing w:line="360" w:lineRule="auto"/>
        <w:ind w:firstLine="480" w:firstLineChars="200"/>
        <w:rPr>
          <w:rFonts w:ascii="宋体" w:hAnsi="宋体" w:cs="宋体"/>
          <w:sz w:val="24"/>
        </w:rPr>
      </w:pPr>
      <w:r>
        <w:rPr>
          <w:rFonts w:hint="eastAsia" w:ascii="宋体" w:hAnsi="宋体" w:cs="宋体"/>
          <w:sz w:val="24"/>
        </w:rPr>
        <w:t>（2）现场响应。采购人遇到使用及技术问题，电话咨询不能解决的，中标人应在</w:t>
      </w:r>
      <w:r>
        <w:rPr>
          <w:rFonts w:ascii="宋体" w:hAnsi="宋体" w:cs="宋体"/>
          <w:sz w:val="24"/>
        </w:rPr>
        <w:t>4</w:t>
      </w:r>
      <w:r>
        <w:rPr>
          <w:rFonts w:hint="eastAsia" w:ascii="宋体" w:hAnsi="宋体" w:cs="宋体"/>
          <w:sz w:val="24"/>
        </w:rPr>
        <w:t>小时内到达现场进行处理，紧急情况应1小时内到达现场，确保产品正常使用；若12小时内不能排除故障的，中标人必须提供备品更换故障产品，使采购人能够正常使用。供应商可承诺缩短现场响应时间。</w:t>
      </w:r>
    </w:p>
    <w:p>
      <w:pPr>
        <w:spacing w:line="360" w:lineRule="auto"/>
        <w:ind w:firstLine="480" w:firstLineChars="200"/>
        <w:rPr>
          <w:rFonts w:ascii="宋体" w:hAnsi="宋体" w:cs="宋体"/>
          <w:sz w:val="24"/>
        </w:rPr>
      </w:pPr>
      <w:r>
        <w:rPr>
          <w:rFonts w:hint="eastAsia" w:ascii="宋体" w:hAnsi="宋体" w:cs="宋体"/>
          <w:sz w:val="24"/>
        </w:rPr>
        <w:t>（3）在质保期内，如果采购人对本次所购买的设备重新进行区域调配、搬迁，不再收取人工费和技术服务费用。</w:t>
      </w:r>
    </w:p>
    <w:p>
      <w:pPr>
        <w:spacing w:line="360" w:lineRule="auto"/>
        <w:ind w:firstLine="480" w:firstLineChars="200"/>
        <w:rPr>
          <w:rFonts w:ascii="宋体" w:hAnsi="宋体" w:cs="宋体"/>
          <w:sz w:val="24"/>
        </w:rPr>
      </w:pPr>
      <w:r>
        <w:rPr>
          <w:rFonts w:hint="eastAsia" w:ascii="宋体" w:hAnsi="宋体" w:cs="宋体"/>
          <w:sz w:val="24"/>
        </w:rPr>
        <w:t>（4）质量保证期过后，供应商同样提供免费电话咨询服务，并应承诺提供产品上门维护服务。</w:t>
      </w:r>
    </w:p>
    <w:p>
      <w:pPr>
        <w:spacing w:line="360" w:lineRule="auto"/>
        <w:ind w:firstLine="480" w:firstLineChars="200"/>
        <w:rPr>
          <w:rFonts w:ascii="宋体" w:hAnsi="宋体" w:cs="宋体"/>
          <w:sz w:val="24"/>
        </w:rPr>
      </w:pPr>
      <w:r>
        <w:rPr>
          <w:rFonts w:hint="eastAsia" w:ascii="宋体" w:hAnsi="宋体" w:cs="宋体"/>
          <w:sz w:val="24"/>
        </w:rPr>
        <w:t>（5）质保期内实行免费维修，不收取任何费用；</w:t>
      </w:r>
    </w:p>
    <w:p>
      <w:pPr>
        <w:spacing w:line="360" w:lineRule="auto"/>
        <w:ind w:firstLine="480" w:firstLineChars="200"/>
        <w:rPr>
          <w:rFonts w:ascii="宋体" w:hAnsi="宋体" w:cs="宋体"/>
          <w:sz w:val="24"/>
        </w:rPr>
      </w:pPr>
      <w:r>
        <w:rPr>
          <w:rFonts w:hint="eastAsia" w:ascii="宋体" w:hAnsi="宋体" w:cs="宋体"/>
          <w:sz w:val="24"/>
        </w:rPr>
        <w:t>（三）质保期外服务要求</w:t>
      </w:r>
    </w:p>
    <w:p>
      <w:pPr>
        <w:spacing w:line="360" w:lineRule="auto"/>
        <w:ind w:firstLine="480" w:firstLineChars="200"/>
        <w:rPr>
          <w:rFonts w:ascii="宋体" w:hAnsi="宋体" w:cs="宋体"/>
          <w:sz w:val="24"/>
        </w:rPr>
      </w:pPr>
      <w:r>
        <w:rPr>
          <w:rFonts w:hint="eastAsia" w:ascii="宋体" w:hAnsi="宋体" w:cs="宋体"/>
          <w:sz w:val="24"/>
        </w:rPr>
        <w:t>1.质量保证期过后，成交投标人提供免费电话咨询服务，并应承诺提供产品上门维护服务。成交投标人接到采购人产品出现问题的通知后，应尽快到达现场，进行处理，费用实行优惠。</w:t>
      </w:r>
    </w:p>
    <w:p>
      <w:pPr>
        <w:spacing w:line="360" w:lineRule="auto"/>
        <w:ind w:firstLine="480" w:firstLineChars="200"/>
        <w:rPr>
          <w:rFonts w:ascii="宋体" w:hAnsi="宋体" w:cs="宋体"/>
          <w:sz w:val="24"/>
        </w:rPr>
      </w:pPr>
      <w:r>
        <w:rPr>
          <w:rFonts w:hint="eastAsia" w:ascii="宋体" w:hAnsi="宋体" w:cs="宋体"/>
          <w:sz w:val="24"/>
        </w:rPr>
        <w:t>2.质量保证期过后，采购人需要继续由原成交投标人提供售后服务的，成交投标人应以优惠价格提供售后服务。</w:t>
      </w:r>
    </w:p>
    <w:p>
      <w:pPr>
        <w:rPr>
          <w:rFonts w:ascii="宋体" w:hAnsi="宋体"/>
          <w:b/>
          <w:sz w:val="24"/>
        </w:rPr>
      </w:pPr>
      <w:r>
        <w:rPr>
          <w:rFonts w:hint="eastAsia" w:ascii="宋体" w:hAnsi="宋体"/>
          <w:b/>
          <w:sz w:val="24"/>
        </w:rPr>
        <w:t>三、</w:t>
      </w:r>
      <w:bookmarkEnd w:id="52"/>
      <w:bookmarkEnd w:id="53"/>
      <w:r>
        <w:rPr>
          <w:rFonts w:hint="eastAsia" w:ascii="宋体" w:hAnsi="宋体"/>
          <w:b/>
          <w:sz w:val="24"/>
        </w:rPr>
        <w:t>监管及考核要求</w:t>
      </w:r>
    </w:p>
    <w:p>
      <w:pPr>
        <w:rPr>
          <w:rFonts w:ascii="黑体" w:hAnsi="黑体" w:eastAsia="黑体"/>
          <w:b/>
          <w:kern w:val="0"/>
          <w:sz w:val="28"/>
          <w:szCs w:val="28"/>
        </w:rPr>
      </w:pPr>
      <w:r>
        <w:rPr>
          <w:rFonts w:ascii="黑体" w:hAnsi="黑体" w:eastAsia="黑体"/>
          <w:b/>
          <w:kern w:val="0"/>
          <w:sz w:val="28"/>
          <w:szCs w:val="28"/>
        </w:rPr>
        <w:t>1</w:t>
      </w:r>
      <w:r>
        <w:rPr>
          <w:rFonts w:hint="eastAsia" w:ascii="黑体" w:hAnsi="黑体" w:eastAsia="黑体"/>
          <w:b/>
          <w:kern w:val="0"/>
          <w:sz w:val="28"/>
          <w:szCs w:val="28"/>
          <w:lang w:eastAsia="zh-Hans"/>
        </w:rPr>
        <w:t>.</w:t>
      </w:r>
      <w:r>
        <w:rPr>
          <w:rFonts w:hint="eastAsia" w:ascii="黑体" w:hAnsi="黑体" w:eastAsia="黑体"/>
          <w:b/>
          <w:kern w:val="0"/>
          <w:sz w:val="28"/>
          <w:szCs w:val="28"/>
        </w:rPr>
        <w:t>考核办法</w:t>
      </w:r>
    </w:p>
    <w:p>
      <w:pPr>
        <w:pStyle w:val="50"/>
        <w:widowControl/>
        <w:spacing w:beforeAutospacing="0" w:afterAutospacing="0" w:line="450" w:lineRule="atLeast"/>
        <w:ind w:left="1260" w:hanging="420"/>
        <w:rPr>
          <w:rFonts w:ascii="微软雅黑" w:hAnsi="微软雅黑" w:eastAsia="微软雅黑" w:cs="微软雅黑"/>
          <w:color w:val="000000"/>
          <w:sz w:val="21"/>
          <w:szCs w:val="21"/>
        </w:rPr>
      </w:pPr>
      <w:r>
        <w:rPr>
          <w:rFonts w:ascii="微软雅黑" w:hAnsi="微软雅黑" w:eastAsia="微软雅黑" w:cs="微软雅黑"/>
          <w:color w:val="000000"/>
          <w:sz w:val="21"/>
          <w:szCs w:val="21"/>
        </w:rPr>
        <w:t>1、 定期对在线监测设备和监控系统进行巡检，巡检有记录</w:t>
      </w:r>
      <w:r>
        <w:rPr>
          <w:rFonts w:hint="eastAsia" w:ascii="微软雅黑" w:hAnsi="微软雅黑" w:eastAsia="微软雅黑" w:cs="微软雅黑"/>
          <w:color w:val="000000"/>
          <w:sz w:val="21"/>
          <w:szCs w:val="21"/>
        </w:rPr>
        <w:t>，违反规定</w:t>
      </w:r>
      <w:r>
        <w:rPr>
          <w:rFonts w:ascii="微软雅黑" w:hAnsi="微软雅黑" w:eastAsia="微软雅黑" w:cs="微软雅黑"/>
          <w:color w:val="000000"/>
          <w:sz w:val="21"/>
          <w:szCs w:val="21"/>
        </w:rPr>
        <w:t>1</w:t>
      </w:r>
      <w:r>
        <w:rPr>
          <w:rFonts w:hint="eastAsia" w:ascii="微软雅黑" w:hAnsi="微软雅黑" w:eastAsia="微软雅黑" w:cs="微软雅黑"/>
          <w:color w:val="000000"/>
          <w:sz w:val="21"/>
          <w:szCs w:val="21"/>
        </w:rPr>
        <w:t>次扣</w:t>
      </w:r>
      <w:r>
        <w:rPr>
          <w:rFonts w:ascii="微软雅黑" w:hAnsi="微软雅黑" w:eastAsia="微软雅黑" w:cs="微软雅黑"/>
          <w:color w:val="000000"/>
          <w:sz w:val="21"/>
          <w:szCs w:val="21"/>
        </w:rPr>
        <w:t>（</w:t>
      </w:r>
      <w:r>
        <w:rPr>
          <w:rFonts w:hint="eastAsia" w:ascii="微软雅黑" w:hAnsi="微软雅黑" w:eastAsia="微软雅黑" w:cs="微软雅黑"/>
          <w:color w:val="000000"/>
          <w:sz w:val="21"/>
          <w:szCs w:val="21"/>
        </w:rPr>
        <w:t>8</w:t>
      </w:r>
      <w:r>
        <w:rPr>
          <w:rFonts w:hint="eastAsia" w:ascii="仿宋_GB2312" w:cs="黑体"/>
          <w:szCs w:val="18"/>
        </w:rPr>
        <w:t>分</w:t>
      </w:r>
      <w:r>
        <w:rPr>
          <w:rFonts w:ascii="微软雅黑" w:hAnsi="微软雅黑" w:eastAsia="微软雅黑" w:cs="微软雅黑"/>
          <w:color w:val="000000"/>
          <w:sz w:val="21"/>
          <w:szCs w:val="21"/>
        </w:rPr>
        <w:t>）</w:t>
      </w:r>
    </w:p>
    <w:p>
      <w:pPr>
        <w:pStyle w:val="50"/>
        <w:widowControl/>
        <w:spacing w:beforeAutospacing="0" w:afterAutospacing="0" w:line="450" w:lineRule="atLeast"/>
        <w:ind w:left="1260" w:hanging="420"/>
        <w:rPr>
          <w:rFonts w:ascii="微软雅黑" w:hAnsi="微软雅黑" w:eastAsia="微软雅黑" w:cs="微软雅黑"/>
          <w:color w:val="000000"/>
          <w:sz w:val="21"/>
          <w:szCs w:val="21"/>
        </w:rPr>
      </w:pPr>
      <w:r>
        <w:rPr>
          <w:rFonts w:ascii="微软雅黑" w:hAnsi="微软雅黑" w:eastAsia="微软雅黑" w:cs="微软雅黑"/>
          <w:color w:val="000000"/>
          <w:sz w:val="21"/>
          <w:szCs w:val="21"/>
        </w:rPr>
        <w:t>2、 严格按照在线监测设备的操作规范进行操作维护</w:t>
      </w:r>
      <w:r>
        <w:rPr>
          <w:rFonts w:hint="eastAsia" w:ascii="微软雅黑" w:hAnsi="微软雅黑" w:eastAsia="微软雅黑" w:cs="微软雅黑"/>
          <w:color w:val="000000"/>
          <w:sz w:val="21"/>
          <w:szCs w:val="21"/>
        </w:rPr>
        <w:t>，违反规定</w:t>
      </w:r>
      <w:r>
        <w:rPr>
          <w:rFonts w:ascii="微软雅黑" w:hAnsi="微软雅黑" w:eastAsia="微软雅黑" w:cs="微软雅黑"/>
          <w:color w:val="000000"/>
          <w:sz w:val="21"/>
          <w:szCs w:val="21"/>
        </w:rPr>
        <w:t>1</w:t>
      </w:r>
      <w:r>
        <w:rPr>
          <w:rFonts w:hint="eastAsia" w:ascii="微软雅黑" w:hAnsi="微软雅黑" w:eastAsia="微软雅黑" w:cs="微软雅黑"/>
          <w:color w:val="000000"/>
          <w:sz w:val="21"/>
          <w:szCs w:val="21"/>
        </w:rPr>
        <w:t>次扣</w:t>
      </w:r>
      <w:r>
        <w:rPr>
          <w:rFonts w:ascii="微软雅黑" w:hAnsi="微软雅黑" w:eastAsia="微软雅黑" w:cs="微软雅黑"/>
          <w:color w:val="000000"/>
          <w:sz w:val="21"/>
          <w:szCs w:val="21"/>
        </w:rPr>
        <w:t>（</w:t>
      </w:r>
      <w:r>
        <w:rPr>
          <w:rFonts w:hint="eastAsia" w:ascii="微软雅黑" w:hAnsi="微软雅黑" w:eastAsia="微软雅黑" w:cs="微软雅黑"/>
          <w:color w:val="000000"/>
          <w:sz w:val="21"/>
          <w:szCs w:val="21"/>
        </w:rPr>
        <w:t>10</w:t>
      </w:r>
      <w:r>
        <w:rPr>
          <w:rFonts w:hint="eastAsia" w:ascii="仿宋_GB2312" w:cs="黑体"/>
          <w:szCs w:val="18"/>
        </w:rPr>
        <w:t>分</w:t>
      </w:r>
      <w:r>
        <w:rPr>
          <w:rFonts w:ascii="微软雅黑" w:hAnsi="微软雅黑" w:eastAsia="微软雅黑" w:cs="微软雅黑"/>
          <w:color w:val="000000"/>
          <w:sz w:val="21"/>
          <w:szCs w:val="21"/>
        </w:rPr>
        <w:t>）</w:t>
      </w:r>
    </w:p>
    <w:p>
      <w:pPr>
        <w:pStyle w:val="50"/>
        <w:widowControl/>
        <w:spacing w:beforeAutospacing="0" w:afterAutospacing="0" w:line="450" w:lineRule="atLeast"/>
        <w:ind w:left="1260" w:hanging="420"/>
        <w:rPr>
          <w:rFonts w:ascii="微软雅黑" w:hAnsi="微软雅黑" w:eastAsia="微软雅黑" w:cs="微软雅黑"/>
          <w:color w:val="000000"/>
          <w:sz w:val="21"/>
          <w:szCs w:val="21"/>
        </w:rPr>
      </w:pPr>
      <w:r>
        <w:rPr>
          <w:rFonts w:ascii="微软雅黑" w:hAnsi="微软雅黑" w:eastAsia="微软雅黑" w:cs="微软雅黑"/>
          <w:color w:val="000000"/>
          <w:sz w:val="21"/>
          <w:szCs w:val="21"/>
        </w:rPr>
        <w:t>3、 分析数据相关性，符合工艺实际情况</w:t>
      </w:r>
      <w:r>
        <w:rPr>
          <w:rFonts w:hint="eastAsia" w:ascii="微软雅黑" w:hAnsi="微软雅黑" w:eastAsia="微软雅黑" w:cs="微软雅黑"/>
          <w:color w:val="000000"/>
          <w:sz w:val="21"/>
          <w:szCs w:val="21"/>
        </w:rPr>
        <w:t>，违反规定</w:t>
      </w:r>
      <w:r>
        <w:rPr>
          <w:rFonts w:ascii="微软雅黑" w:hAnsi="微软雅黑" w:eastAsia="微软雅黑" w:cs="微软雅黑"/>
          <w:color w:val="000000"/>
          <w:sz w:val="21"/>
          <w:szCs w:val="21"/>
        </w:rPr>
        <w:t>1</w:t>
      </w:r>
      <w:r>
        <w:rPr>
          <w:rFonts w:hint="eastAsia" w:ascii="微软雅黑" w:hAnsi="微软雅黑" w:eastAsia="微软雅黑" w:cs="微软雅黑"/>
          <w:color w:val="000000"/>
          <w:sz w:val="21"/>
          <w:szCs w:val="21"/>
        </w:rPr>
        <w:t>次扣</w:t>
      </w:r>
      <w:r>
        <w:rPr>
          <w:rFonts w:ascii="微软雅黑" w:hAnsi="微软雅黑" w:eastAsia="微软雅黑" w:cs="微软雅黑"/>
          <w:color w:val="000000"/>
          <w:sz w:val="21"/>
          <w:szCs w:val="21"/>
        </w:rPr>
        <w:t>（</w:t>
      </w:r>
      <w:r>
        <w:rPr>
          <w:rFonts w:hint="eastAsia" w:ascii="微软雅黑" w:hAnsi="微软雅黑" w:eastAsia="微软雅黑" w:cs="微软雅黑"/>
          <w:color w:val="000000"/>
          <w:sz w:val="21"/>
          <w:szCs w:val="21"/>
        </w:rPr>
        <w:t>8</w:t>
      </w:r>
      <w:r>
        <w:rPr>
          <w:rFonts w:hint="eastAsia" w:ascii="仿宋_GB2312" w:cs="黑体"/>
          <w:szCs w:val="18"/>
        </w:rPr>
        <w:t>分</w:t>
      </w:r>
      <w:r>
        <w:rPr>
          <w:rFonts w:ascii="微软雅黑" w:hAnsi="微软雅黑" w:eastAsia="微软雅黑" w:cs="微软雅黑"/>
          <w:color w:val="000000"/>
          <w:sz w:val="21"/>
          <w:szCs w:val="21"/>
        </w:rPr>
        <w:t>）</w:t>
      </w:r>
    </w:p>
    <w:p>
      <w:pPr>
        <w:pStyle w:val="50"/>
        <w:widowControl/>
        <w:spacing w:beforeAutospacing="0" w:afterAutospacing="0" w:line="450" w:lineRule="atLeast"/>
        <w:ind w:left="1260" w:hanging="420"/>
        <w:rPr>
          <w:rFonts w:ascii="微软雅黑" w:hAnsi="微软雅黑" w:eastAsia="微软雅黑" w:cs="微软雅黑"/>
          <w:color w:val="000000"/>
          <w:sz w:val="21"/>
          <w:szCs w:val="21"/>
        </w:rPr>
      </w:pPr>
      <w:r>
        <w:rPr>
          <w:rFonts w:ascii="微软雅黑" w:hAnsi="微软雅黑" w:eastAsia="微软雅黑" w:cs="微软雅黑"/>
          <w:color w:val="000000"/>
          <w:sz w:val="21"/>
          <w:szCs w:val="21"/>
        </w:rPr>
        <w:t>4、 定期开展培训工作，培训有记录、有签字、有培训图片</w:t>
      </w:r>
      <w:r>
        <w:rPr>
          <w:rFonts w:hint="eastAsia" w:ascii="微软雅黑" w:hAnsi="微软雅黑" w:eastAsia="微软雅黑" w:cs="微软雅黑"/>
          <w:color w:val="000000"/>
          <w:sz w:val="21"/>
          <w:szCs w:val="21"/>
        </w:rPr>
        <w:t>，未开展培训扣</w:t>
      </w:r>
      <w:r>
        <w:rPr>
          <w:rFonts w:ascii="微软雅黑" w:hAnsi="微软雅黑" w:eastAsia="微软雅黑" w:cs="微软雅黑"/>
          <w:color w:val="000000"/>
          <w:sz w:val="21"/>
          <w:szCs w:val="21"/>
        </w:rPr>
        <w:t>（</w:t>
      </w:r>
      <w:r>
        <w:rPr>
          <w:rFonts w:hint="eastAsia" w:ascii="微软雅黑" w:hAnsi="微软雅黑" w:eastAsia="微软雅黑" w:cs="微软雅黑"/>
          <w:color w:val="000000"/>
          <w:sz w:val="21"/>
          <w:szCs w:val="21"/>
        </w:rPr>
        <w:t>8</w:t>
      </w:r>
      <w:r>
        <w:rPr>
          <w:rFonts w:hint="eastAsia" w:ascii="仿宋_GB2312" w:cs="黑体"/>
          <w:szCs w:val="18"/>
        </w:rPr>
        <w:t>分</w:t>
      </w:r>
      <w:r>
        <w:rPr>
          <w:rFonts w:ascii="微软雅黑" w:hAnsi="微软雅黑" w:eastAsia="微软雅黑" w:cs="微软雅黑"/>
          <w:color w:val="000000"/>
          <w:sz w:val="21"/>
          <w:szCs w:val="21"/>
        </w:rPr>
        <w:t>）</w:t>
      </w:r>
    </w:p>
    <w:p>
      <w:pPr>
        <w:pStyle w:val="50"/>
        <w:widowControl/>
        <w:spacing w:beforeAutospacing="0" w:afterAutospacing="0" w:line="450" w:lineRule="atLeast"/>
        <w:ind w:left="1260" w:hanging="420"/>
        <w:rPr>
          <w:rFonts w:ascii="微软雅黑" w:hAnsi="微软雅黑" w:eastAsia="微软雅黑" w:cs="微软雅黑"/>
          <w:color w:val="000000"/>
          <w:sz w:val="21"/>
          <w:szCs w:val="21"/>
        </w:rPr>
      </w:pPr>
      <w:r>
        <w:rPr>
          <w:rFonts w:ascii="微软雅黑" w:hAnsi="微软雅黑" w:eastAsia="微软雅黑" w:cs="微软雅黑"/>
          <w:color w:val="000000"/>
          <w:sz w:val="21"/>
          <w:szCs w:val="21"/>
        </w:rPr>
        <w:t>5、 严格按照操作流程更换耗材、标液、试剂，过程有记录</w:t>
      </w:r>
      <w:r>
        <w:rPr>
          <w:rFonts w:hint="eastAsia" w:ascii="微软雅黑" w:hAnsi="微软雅黑" w:eastAsia="微软雅黑" w:cs="微软雅黑"/>
          <w:color w:val="000000"/>
          <w:sz w:val="21"/>
          <w:szCs w:val="21"/>
        </w:rPr>
        <w:t>，违反规定</w:t>
      </w:r>
      <w:r>
        <w:rPr>
          <w:rFonts w:ascii="微软雅黑" w:hAnsi="微软雅黑" w:eastAsia="微软雅黑" w:cs="微软雅黑"/>
          <w:color w:val="000000"/>
          <w:sz w:val="21"/>
          <w:szCs w:val="21"/>
        </w:rPr>
        <w:t>1</w:t>
      </w:r>
      <w:r>
        <w:rPr>
          <w:rFonts w:hint="eastAsia" w:ascii="微软雅黑" w:hAnsi="微软雅黑" w:eastAsia="微软雅黑" w:cs="微软雅黑"/>
          <w:color w:val="000000"/>
          <w:sz w:val="21"/>
          <w:szCs w:val="21"/>
        </w:rPr>
        <w:t>次扣</w:t>
      </w:r>
      <w:r>
        <w:rPr>
          <w:rFonts w:ascii="微软雅黑" w:hAnsi="微软雅黑" w:eastAsia="微软雅黑" w:cs="微软雅黑"/>
          <w:color w:val="000000"/>
          <w:sz w:val="21"/>
          <w:szCs w:val="21"/>
        </w:rPr>
        <w:t>（</w:t>
      </w:r>
      <w:r>
        <w:rPr>
          <w:rFonts w:hint="eastAsia" w:ascii="微软雅黑" w:hAnsi="微软雅黑" w:eastAsia="微软雅黑" w:cs="微软雅黑"/>
          <w:color w:val="000000"/>
          <w:sz w:val="21"/>
          <w:szCs w:val="21"/>
        </w:rPr>
        <w:t>10</w:t>
      </w:r>
      <w:r>
        <w:rPr>
          <w:rFonts w:hint="eastAsia" w:ascii="仿宋_GB2312" w:cs="黑体"/>
          <w:szCs w:val="18"/>
        </w:rPr>
        <w:t>分</w:t>
      </w:r>
      <w:r>
        <w:rPr>
          <w:rFonts w:ascii="微软雅黑" w:hAnsi="微软雅黑" w:eastAsia="微软雅黑" w:cs="微软雅黑"/>
          <w:color w:val="000000"/>
          <w:sz w:val="21"/>
          <w:szCs w:val="21"/>
        </w:rPr>
        <w:t>）</w:t>
      </w:r>
    </w:p>
    <w:p>
      <w:pPr>
        <w:pStyle w:val="50"/>
        <w:widowControl/>
        <w:spacing w:beforeAutospacing="0" w:afterAutospacing="0" w:line="450" w:lineRule="atLeast"/>
        <w:ind w:left="1260" w:hanging="420"/>
        <w:rPr>
          <w:rFonts w:ascii="微软雅黑" w:hAnsi="微软雅黑" w:eastAsia="微软雅黑" w:cs="微软雅黑"/>
          <w:color w:val="000000"/>
          <w:sz w:val="21"/>
          <w:szCs w:val="21"/>
        </w:rPr>
      </w:pPr>
      <w:r>
        <w:rPr>
          <w:rFonts w:ascii="微软雅黑" w:hAnsi="微软雅黑" w:eastAsia="微软雅黑" w:cs="微软雅黑"/>
          <w:color w:val="000000"/>
          <w:sz w:val="21"/>
          <w:szCs w:val="21"/>
        </w:rPr>
        <w:t>6、 是否规范按时填写相关记录</w:t>
      </w:r>
      <w:r>
        <w:rPr>
          <w:rFonts w:hint="eastAsia" w:ascii="微软雅黑" w:hAnsi="微软雅黑" w:eastAsia="微软雅黑" w:cs="微软雅黑"/>
          <w:color w:val="000000"/>
          <w:sz w:val="21"/>
          <w:szCs w:val="21"/>
        </w:rPr>
        <w:t>，违反规定</w:t>
      </w:r>
      <w:r>
        <w:rPr>
          <w:rFonts w:ascii="微软雅黑" w:hAnsi="微软雅黑" w:eastAsia="微软雅黑" w:cs="微软雅黑"/>
          <w:color w:val="000000"/>
          <w:sz w:val="21"/>
          <w:szCs w:val="21"/>
        </w:rPr>
        <w:t>1</w:t>
      </w:r>
      <w:r>
        <w:rPr>
          <w:rFonts w:hint="eastAsia" w:ascii="微软雅黑" w:hAnsi="微软雅黑" w:eastAsia="微软雅黑" w:cs="微软雅黑"/>
          <w:color w:val="000000"/>
          <w:sz w:val="21"/>
          <w:szCs w:val="21"/>
        </w:rPr>
        <w:t>次扣</w:t>
      </w:r>
      <w:r>
        <w:rPr>
          <w:rFonts w:ascii="微软雅黑" w:hAnsi="微软雅黑" w:eastAsia="微软雅黑" w:cs="微软雅黑"/>
          <w:color w:val="000000"/>
          <w:sz w:val="21"/>
          <w:szCs w:val="21"/>
        </w:rPr>
        <w:t xml:space="preserve">（ </w:t>
      </w:r>
      <w:r>
        <w:rPr>
          <w:rFonts w:hint="eastAsia" w:ascii="微软雅黑" w:hAnsi="微软雅黑" w:eastAsia="微软雅黑" w:cs="微软雅黑"/>
          <w:color w:val="000000"/>
          <w:sz w:val="21"/>
          <w:szCs w:val="21"/>
        </w:rPr>
        <w:t>8</w:t>
      </w:r>
      <w:r>
        <w:rPr>
          <w:rFonts w:hint="eastAsia" w:ascii="仿宋_GB2312" w:cs="黑体"/>
          <w:szCs w:val="18"/>
        </w:rPr>
        <w:t>分</w:t>
      </w:r>
      <w:r>
        <w:rPr>
          <w:rFonts w:ascii="微软雅黑" w:hAnsi="微软雅黑" w:eastAsia="微软雅黑" w:cs="微软雅黑"/>
          <w:color w:val="000000"/>
          <w:sz w:val="21"/>
          <w:szCs w:val="21"/>
        </w:rPr>
        <w:t>）</w:t>
      </w:r>
    </w:p>
    <w:p>
      <w:pPr>
        <w:pStyle w:val="50"/>
        <w:widowControl/>
        <w:spacing w:beforeAutospacing="0" w:afterAutospacing="0" w:line="450" w:lineRule="atLeast"/>
        <w:ind w:left="1260" w:hanging="420"/>
        <w:rPr>
          <w:rFonts w:ascii="微软雅黑" w:hAnsi="微软雅黑" w:eastAsia="微软雅黑" w:cs="微软雅黑"/>
          <w:color w:val="000000"/>
          <w:sz w:val="21"/>
          <w:szCs w:val="21"/>
        </w:rPr>
      </w:pPr>
      <w:r>
        <w:rPr>
          <w:rFonts w:ascii="微软雅黑" w:hAnsi="微软雅黑" w:eastAsia="微软雅黑" w:cs="微软雅黑"/>
          <w:color w:val="000000"/>
          <w:sz w:val="21"/>
          <w:szCs w:val="21"/>
        </w:rPr>
        <w:t>7、 按要求开展季度比对，符合环保要求</w:t>
      </w:r>
      <w:r>
        <w:rPr>
          <w:rFonts w:hint="eastAsia" w:ascii="微软雅黑" w:hAnsi="微软雅黑" w:eastAsia="微软雅黑" w:cs="微软雅黑"/>
          <w:color w:val="000000"/>
          <w:sz w:val="21"/>
          <w:szCs w:val="21"/>
        </w:rPr>
        <w:t>，违反规定</w:t>
      </w:r>
      <w:r>
        <w:rPr>
          <w:rFonts w:ascii="微软雅黑" w:hAnsi="微软雅黑" w:eastAsia="微软雅黑" w:cs="微软雅黑"/>
          <w:color w:val="000000"/>
          <w:sz w:val="21"/>
          <w:szCs w:val="21"/>
        </w:rPr>
        <w:t>1</w:t>
      </w:r>
      <w:r>
        <w:rPr>
          <w:rFonts w:hint="eastAsia" w:ascii="微软雅黑" w:hAnsi="微软雅黑" w:eastAsia="微软雅黑" w:cs="微软雅黑"/>
          <w:color w:val="000000"/>
          <w:sz w:val="21"/>
          <w:szCs w:val="21"/>
        </w:rPr>
        <w:t>次扣</w:t>
      </w:r>
      <w:r>
        <w:rPr>
          <w:rFonts w:ascii="微软雅黑" w:hAnsi="微软雅黑" w:eastAsia="微软雅黑" w:cs="微软雅黑"/>
          <w:color w:val="000000"/>
          <w:sz w:val="21"/>
          <w:szCs w:val="21"/>
        </w:rPr>
        <w:t xml:space="preserve">（ </w:t>
      </w:r>
      <w:r>
        <w:rPr>
          <w:rFonts w:hint="eastAsia" w:ascii="微软雅黑" w:hAnsi="微软雅黑" w:eastAsia="微软雅黑" w:cs="微软雅黑"/>
          <w:color w:val="000000"/>
          <w:sz w:val="21"/>
          <w:szCs w:val="21"/>
        </w:rPr>
        <w:t>8</w:t>
      </w:r>
      <w:r>
        <w:rPr>
          <w:rFonts w:hint="eastAsia" w:ascii="仿宋_GB2312" w:cs="黑体"/>
          <w:szCs w:val="18"/>
        </w:rPr>
        <w:t>分</w:t>
      </w:r>
      <w:r>
        <w:rPr>
          <w:rFonts w:ascii="微软雅黑" w:hAnsi="微软雅黑" w:eastAsia="微软雅黑" w:cs="微软雅黑"/>
          <w:color w:val="000000"/>
          <w:sz w:val="21"/>
          <w:szCs w:val="21"/>
        </w:rPr>
        <w:t>）</w:t>
      </w:r>
    </w:p>
    <w:p>
      <w:pPr>
        <w:pStyle w:val="50"/>
        <w:widowControl/>
        <w:spacing w:beforeAutospacing="0" w:afterAutospacing="0" w:line="450" w:lineRule="atLeast"/>
        <w:ind w:left="1260" w:hanging="4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8</w:t>
      </w:r>
      <w:r>
        <w:rPr>
          <w:rFonts w:ascii="微软雅黑" w:hAnsi="微软雅黑" w:eastAsia="微软雅黑" w:cs="微软雅黑"/>
          <w:color w:val="000000"/>
          <w:sz w:val="21"/>
          <w:szCs w:val="21"/>
        </w:rPr>
        <w:t>、废液交有危废经营许可证单位处置并开具转移联单</w:t>
      </w:r>
      <w:r>
        <w:rPr>
          <w:rFonts w:hint="eastAsia" w:ascii="微软雅黑" w:hAnsi="微软雅黑" w:eastAsia="微软雅黑" w:cs="微软雅黑"/>
          <w:color w:val="000000"/>
          <w:sz w:val="21"/>
          <w:szCs w:val="21"/>
        </w:rPr>
        <w:t>，违反规定</w:t>
      </w:r>
      <w:r>
        <w:rPr>
          <w:rFonts w:ascii="微软雅黑" w:hAnsi="微软雅黑" w:eastAsia="微软雅黑" w:cs="微软雅黑"/>
          <w:color w:val="000000"/>
          <w:sz w:val="21"/>
          <w:szCs w:val="21"/>
        </w:rPr>
        <w:t>1</w:t>
      </w:r>
      <w:r>
        <w:rPr>
          <w:rFonts w:hint="eastAsia" w:ascii="微软雅黑" w:hAnsi="微软雅黑" w:eastAsia="微软雅黑" w:cs="微软雅黑"/>
          <w:color w:val="000000"/>
          <w:sz w:val="21"/>
          <w:szCs w:val="21"/>
        </w:rPr>
        <w:t>次扣</w:t>
      </w:r>
      <w:r>
        <w:rPr>
          <w:rFonts w:ascii="微软雅黑" w:hAnsi="微软雅黑" w:eastAsia="微软雅黑" w:cs="微软雅黑"/>
          <w:color w:val="000000"/>
          <w:sz w:val="21"/>
          <w:szCs w:val="21"/>
        </w:rPr>
        <w:t>（</w:t>
      </w:r>
      <w:r>
        <w:rPr>
          <w:rFonts w:hint="eastAsia" w:ascii="微软雅黑" w:hAnsi="微软雅黑" w:eastAsia="微软雅黑" w:cs="微软雅黑"/>
          <w:color w:val="000000"/>
          <w:sz w:val="21"/>
          <w:szCs w:val="21"/>
        </w:rPr>
        <w:t>10</w:t>
      </w:r>
      <w:r>
        <w:rPr>
          <w:rFonts w:hint="eastAsia" w:ascii="仿宋_GB2312" w:cs="黑体"/>
          <w:szCs w:val="18"/>
        </w:rPr>
        <w:t>分</w:t>
      </w:r>
      <w:r>
        <w:rPr>
          <w:rFonts w:ascii="微软雅黑" w:hAnsi="微软雅黑" w:eastAsia="微软雅黑" w:cs="微软雅黑"/>
          <w:color w:val="000000"/>
          <w:sz w:val="21"/>
          <w:szCs w:val="21"/>
        </w:rPr>
        <w:t>）</w:t>
      </w:r>
    </w:p>
    <w:p>
      <w:pPr>
        <w:pStyle w:val="50"/>
        <w:widowControl/>
        <w:spacing w:beforeAutospacing="0" w:afterAutospacing="0" w:line="450" w:lineRule="atLeast"/>
        <w:ind w:left="1260" w:hanging="4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9</w:t>
      </w:r>
      <w:r>
        <w:rPr>
          <w:rFonts w:ascii="微软雅黑" w:hAnsi="微软雅黑" w:eastAsia="微软雅黑" w:cs="微软雅黑"/>
          <w:color w:val="000000"/>
          <w:sz w:val="21"/>
          <w:szCs w:val="21"/>
        </w:rPr>
        <w:t>、运营服务人员在维护服务名单内，且有上岗证。</w:t>
      </w:r>
      <w:r>
        <w:rPr>
          <w:rFonts w:hint="eastAsia" w:ascii="微软雅黑" w:hAnsi="微软雅黑" w:eastAsia="微软雅黑" w:cs="微软雅黑"/>
          <w:color w:val="000000"/>
          <w:sz w:val="21"/>
          <w:szCs w:val="21"/>
        </w:rPr>
        <w:t>违反规定</w:t>
      </w:r>
      <w:r>
        <w:rPr>
          <w:rFonts w:ascii="微软雅黑" w:hAnsi="微软雅黑" w:eastAsia="微软雅黑" w:cs="微软雅黑"/>
          <w:color w:val="000000"/>
          <w:sz w:val="21"/>
          <w:szCs w:val="21"/>
        </w:rPr>
        <w:t>1</w:t>
      </w:r>
      <w:r>
        <w:rPr>
          <w:rFonts w:hint="eastAsia" w:ascii="微软雅黑" w:hAnsi="微软雅黑" w:eastAsia="微软雅黑" w:cs="微软雅黑"/>
          <w:color w:val="000000"/>
          <w:sz w:val="21"/>
          <w:szCs w:val="21"/>
        </w:rPr>
        <w:t>次扣</w:t>
      </w:r>
      <w:r>
        <w:rPr>
          <w:rFonts w:ascii="微软雅黑" w:hAnsi="微软雅黑" w:eastAsia="微软雅黑" w:cs="微软雅黑"/>
          <w:color w:val="000000"/>
          <w:sz w:val="21"/>
          <w:szCs w:val="21"/>
        </w:rPr>
        <w:t>（</w:t>
      </w:r>
      <w:r>
        <w:rPr>
          <w:rFonts w:hint="eastAsia" w:ascii="微软雅黑" w:hAnsi="微软雅黑" w:eastAsia="微软雅黑" w:cs="微软雅黑"/>
          <w:color w:val="000000"/>
          <w:sz w:val="21"/>
          <w:szCs w:val="21"/>
        </w:rPr>
        <w:t>8</w:t>
      </w:r>
      <w:r>
        <w:rPr>
          <w:rFonts w:hint="eastAsia" w:ascii="仿宋_GB2312" w:cs="黑体"/>
          <w:szCs w:val="18"/>
        </w:rPr>
        <w:t>分</w:t>
      </w:r>
      <w:r>
        <w:rPr>
          <w:rFonts w:ascii="微软雅黑" w:hAnsi="微软雅黑" w:eastAsia="微软雅黑" w:cs="微软雅黑"/>
          <w:color w:val="000000"/>
          <w:sz w:val="21"/>
          <w:szCs w:val="21"/>
        </w:rPr>
        <w:t>）</w:t>
      </w:r>
    </w:p>
    <w:p>
      <w:pPr>
        <w:pStyle w:val="50"/>
        <w:widowControl/>
        <w:spacing w:beforeAutospacing="0" w:afterAutospacing="0" w:line="450" w:lineRule="atLeast"/>
        <w:ind w:left="1260" w:hanging="420"/>
        <w:rPr>
          <w:rFonts w:ascii="微软雅黑" w:hAnsi="微软雅黑" w:eastAsia="微软雅黑" w:cs="微软雅黑"/>
          <w:color w:val="000000"/>
          <w:sz w:val="21"/>
          <w:szCs w:val="21"/>
        </w:rPr>
      </w:pPr>
      <w:r>
        <w:rPr>
          <w:rFonts w:ascii="微软雅黑" w:hAnsi="微软雅黑" w:eastAsia="微软雅黑" w:cs="微软雅黑"/>
          <w:color w:val="000000"/>
          <w:sz w:val="21"/>
          <w:szCs w:val="21"/>
        </w:rPr>
        <w:t>1</w:t>
      </w:r>
      <w:r>
        <w:rPr>
          <w:rFonts w:hint="eastAsia" w:ascii="微软雅黑" w:hAnsi="微软雅黑" w:eastAsia="微软雅黑" w:cs="微软雅黑"/>
          <w:color w:val="000000"/>
          <w:sz w:val="21"/>
          <w:szCs w:val="21"/>
        </w:rPr>
        <w:t>0</w:t>
      </w:r>
      <w:r>
        <w:rPr>
          <w:rFonts w:ascii="微软雅黑" w:hAnsi="微软雅黑" w:eastAsia="微软雅黑" w:cs="微软雅黑"/>
          <w:color w:val="000000"/>
          <w:sz w:val="21"/>
          <w:szCs w:val="21"/>
        </w:rPr>
        <w:t>、按合同要求配备一名项目负责人对接、协调相关工作</w:t>
      </w:r>
      <w:r>
        <w:rPr>
          <w:rFonts w:hint="eastAsia" w:ascii="微软雅黑" w:hAnsi="微软雅黑" w:eastAsia="微软雅黑" w:cs="微软雅黑"/>
          <w:color w:val="000000"/>
          <w:sz w:val="21"/>
          <w:szCs w:val="21"/>
        </w:rPr>
        <w:t>，违反规定</w:t>
      </w:r>
      <w:r>
        <w:rPr>
          <w:rFonts w:ascii="微软雅黑" w:hAnsi="微软雅黑" w:eastAsia="微软雅黑" w:cs="微软雅黑"/>
          <w:color w:val="000000"/>
          <w:sz w:val="21"/>
          <w:szCs w:val="21"/>
        </w:rPr>
        <w:t>1</w:t>
      </w:r>
      <w:r>
        <w:rPr>
          <w:rFonts w:hint="eastAsia" w:ascii="微软雅黑" w:hAnsi="微软雅黑" w:eastAsia="微软雅黑" w:cs="微软雅黑"/>
          <w:color w:val="000000"/>
          <w:sz w:val="21"/>
          <w:szCs w:val="21"/>
        </w:rPr>
        <w:t>次扣</w:t>
      </w:r>
      <w:r>
        <w:rPr>
          <w:rFonts w:ascii="微软雅黑" w:hAnsi="微软雅黑" w:eastAsia="微软雅黑" w:cs="微软雅黑"/>
          <w:color w:val="000000"/>
          <w:sz w:val="21"/>
          <w:szCs w:val="21"/>
        </w:rPr>
        <w:t>（</w:t>
      </w:r>
      <w:r>
        <w:rPr>
          <w:rFonts w:hint="eastAsia" w:ascii="微软雅黑" w:hAnsi="微软雅黑" w:eastAsia="微软雅黑" w:cs="微软雅黑"/>
          <w:color w:val="000000"/>
          <w:sz w:val="21"/>
          <w:szCs w:val="21"/>
        </w:rPr>
        <w:t>6</w:t>
      </w:r>
      <w:r>
        <w:rPr>
          <w:rFonts w:hint="eastAsia" w:ascii="仿宋_GB2312" w:cs="黑体"/>
          <w:szCs w:val="18"/>
        </w:rPr>
        <w:t>分</w:t>
      </w:r>
      <w:r>
        <w:rPr>
          <w:rFonts w:ascii="微软雅黑" w:hAnsi="微软雅黑" w:eastAsia="微软雅黑" w:cs="微软雅黑"/>
          <w:color w:val="000000"/>
          <w:sz w:val="21"/>
          <w:szCs w:val="21"/>
        </w:rPr>
        <w:t>）</w:t>
      </w:r>
    </w:p>
    <w:p>
      <w:pPr>
        <w:pStyle w:val="50"/>
        <w:widowControl/>
        <w:spacing w:beforeAutospacing="0" w:afterAutospacing="0" w:line="450" w:lineRule="atLeast"/>
        <w:ind w:left="1260" w:hanging="420"/>
        <w:rPr>
          <w:rFonts w:ascii="仿宋_GB2312" w:hAnsi="仿宋_GB2312" w:cs="仿宋_GB2312"/>
          <w:szCs w:val="21"/>
          <w:lang w:bidi="ar"/>
        </w:rPr>
      </w:pPr>
      <w:r>
        <w:rPr>
          <w:rFonts w:hint="eastAsia" w:ascii="微软雅黑" w:hAnsi="微软雅黑" w:eastAsia="微软雅黑" w:cs="微软雅黑"/>
          <w:color w:val="000000"/>
          <w:sz w:val="21"/>
          <w:szCs w:val="21"/>
        </w:rPr>
        <w:t>11、</w:t>
      </w:r>
      <w:r>
        <w:rPr>
          <w:rFonts w:hint="eastAsia" w:ascii="仿宋_GB2312" w:hAnsi="仿宋_GB2312" w:cs="仿宋_GB2312"/>
          <w:szCs w:val="21"/>
          <w:lang w:bidi="ar"/>
        </w:rPr>
        <w:t>设备间卫生，脏乱差，</w:t>
      </w:r>
      <w:r>
        <w:rPr>
          <w:rFonts w:ascii="微软雅黑" w:hAnsi="微软雅黑" w:eastAsia="微软雅黑" w:cs="微软雅黑"/>
          <w:color w:val="000000"/>
          <w:sz w:val="21"/>
          <w:szCs w:val="21"/>
        </w:rPr>
        <w:t xml:space="preserve"> 1</w:t>
      </w:r>
      <w:r>
        <w:rPr>
          <w:rFonts w:hint="eastAsia" w:ascii="微软雅黑" w:hAnsi="微软雅黑" w:eastAsia="微软雅黑" w:cs="微软雅黑"/>
          <w:color w:val="000000"/>
          <w:sz w:val="21"/>
          <w:szCs w:val="21"/>
        </w:rPr>
        <w:t>次扣</w:t>
      </w:r>
      <w:r>
        <w:rPr>
          <w:rFonts w:hint="eastAsia" w:ascii="仿宋_GB2312" w:hAnsi="仿宋_GB2312" w:cs="仿宋_GB2312"/>
          <w:szCs w:val="21"/>
          <w:lang w:bidi="ar"/>
        </w:rPr>
        <w:t>（8</w:t>
      </w:r>
      <w:r>
        <w:rPr>
          <w:rFonts w:hint="eastAsia" w:ascii="仿宋_GB2312" w:cs="黑体"/>
          <w:szCs w:val="18"/>
        </w:rPr>
        <w:t>分</w:t>
      </w:r>
      <w:r>
        <w:rPr>
          <w:rFonts w:hint="eastAsia" w:ascii="仿宋_GB2312" w:hAnsi="仿宋_GB2312" w:cs="仿宋_GB2312"/>
          <w:szCs w:val="21"/>
          <w:lang w:bidi="ar"/>
        </w:rPr>
        <w:t>）</w:t>
      </w:r>
    </w:p>
    <w:p>
      <w:pPr>
        <w:pStyle w:val="50"/>
        <w:widowControl/>
        <w:spacing w:beforeAutospacing="0" w:afterAutospacing="0" w:line="450" w:lineRule="atLeast"/>
        <w:ind w:left="1260" w:hanging="420"/>
        <w:rPr>
          <w:rFonts w:ascii="微软雅黑" w:hAnsi="微软雅黑" w:eastAsia="微软雅黑" w:cs="微软雅黑"/>
          <w:color w:val="000000"/>
          <w:sz w:val="21"/>
          <w:szCs w:val="21"/>
        </w:rPr>
      </w:pPr>
      <w:r>
        <w:rPr>
          <w:rFonts w:hint="eastAsia" w:ascii="仿宋_GB2312" w:cs="黑体"/>
          <w:szCs w:val="18"/>
        </w:rPr>
        <w:t>12、操作人员在使用水电的时候必须做到节约用水、用电，做到人走灯灭，不使用器具时关闭电源和用水。发现浪费水或电</w:t>
      </w:r>
      <w:r>
        <w:rPr>
          <w:rFonts w:ascii="仿宋_GB2312" w:cs="黑体"/>
          <w:szCs w:val="18"/>
        </w:rPr>
        <w:t>1</w:t>
      </w:r>
      <w:r>
        <w:rPr>
          <w:rFonts w:hint="eastAsia" w:ascii="仿宋_GB2312" w:cs="黑体"/>
          <w:szCs w:val="18"/>
        </w:rPr>
        <w:t>次扣（8分）</w:t>
      </w:r>
    </w:p>
    <w:p>
      <w:r>
        <w:rPr>
          <w:rFonts w:hint="eastAsia" w:ascii="黑体" w:hAnsi="黑体" w:eastAsia="黑体"/>
          <w:b/>
          <w:kern w:val="0"/>
          <w:sz w:val="28"/>
          <w:szCs w:val="28"/>
        </w:rPr>
        <w:t>2.考核分值</w:t>
      </w:r>
    </w:p>
    <w:p>
      <w:pPr>
        <w:spacing w:line="360" w:lineRule="auto"/>
        <w:ind w:firstLine="480"/>
      </w:pPr>
      <w:r>
        <w:rPr>
          <w:rFonts w:hint="eastAsia"/>
        </w:rPr>
        <w:t>执行合同情况的监督检查实行扣分制：每月考核标准扣分数合计在10分以内的为合格，考核标准扣分数合计在10—19分的扣项目承包单位2000元承包经费，20—29分的扣项目承包单位5000元承包经费，30分以上或累计3月扣分在20-29分的扣完当月全部自动监测站承包费，并有权解除合同。</w:t>
      </w:r>
    </w:p>
    <w:p>
      <w:pPr>
        <w:spacing w:line="360" w:lineRule="auto"/>
        <w:ind w:firstLine="480"/>
      </w:pPr>
      <w:r>
        <w:rPr>
          <w:rFonts w:hint="eastAsia"/>
        </w:rPr>
        <w:t>（一）每月不定期对医院自动监测站、污水在线监测运营外包项目进行检查，对有质量的地方以现场照片作依据通知服务商，并将检查情况汇总报分管领导，按检查结果</w:t>
      </w:r>
      <w:r>
        <w:rPr>
          <w:rFonts w:hint="eastAsia" w:cs="宋体"/>
          <w:kern w:val="0"/>
        </w:rPr>
        <w:t>扣除当月考核罚款数再拨付给服务商。</w:t>
      </w:r>
      <w:r>
        <w:rPr>
          <w:rFonts w:hint="eastAsia"/>
        </w:rPr>
        <w:t xml:space="preserve">                 </w:t>
      </w:r>
    </w:p>
    <w:p>
      <w:pPr>
        <w:spacing w:line="360" w:lineRule="auto"/>
        <w:ind w:firstLine="480"/>
      </w:pPr>
      <w:r>
        <w:rPr>
          <w:rFonts w:hint="eastAsia"/>
        </w:rPr>
        <w:t>（二）合同终止事由</w:t>
      </w:r>
    </w:p>
    <w:p>
      <w:pPr>
        <w:spacing w:line="360" w:lineRule="auto"/>
        <w:ind w:firstLine="480"/>
      </w:pPr>
      <w:r>
        <w:rPr>
          <w:rFonts w:hint="eastAsia"/>
        </w:rPr>
        <w:t>1、违反管理规定，造成重大伤亡或重大损失；</w:t>
      </w:r>
    </w:p>
    <w:p>
      <w:pPr>
        <w:spacing w:line="360" w:lineRule="auto"/>
        <w:ind w:firstLine="480"/>
      </w:pPr>
      <w:r>
        <w:rPr>
          <w:rFonts w:hint="eastAsia"/>
        </w:rPr>
        <w:t>2、因管理不善造成恶劣影响；</w:t>
      </w:r>
    </w:p>
    <w:p>
      <w:pPr>
        <w:spacing w:line="360" w:lineRule="auto"/>
        <w:ind w:firstLine="480"/>
      </w:pPr>
      <w:r>
        <w:rPr>
          <w:rFonts w:hint="eastAsia"/>
        </w:rPr>
        <w:t>3、擅自将合同转包、分包给第三者；</w:t>
      </w:r>
    </w:p>
    <w:p>
      <w:pPr>
        <w:spacing w:line="360" w:lineRule="auto"/>
        <w:ind w:firstLine="480"/>
      </w:pPr>
      <w:r>
        <w:rPr>
          <w:rFonts w:hint="eastAsia"/>
        </w:rPr>
        <w:t>4、违反劳动法或其他相关法规，造成恶劣影响；</w:t>
      </w:r>
    </w:p>
    <w:p>
      <w:pPr>
        <w:spacing w:line="360" w:lineRule="auto"/>
        <w:ind w:firstLine="480"/>
      </w:pPr>
      <w:r>
        <w:rPr>
          <w:rFonts w:hint="eastAsia"/>
        </w:rPr>
        <w:t>5、有弄虚作假及其不正当行为；</w:t>
      </w:r>
    </w:p>
    <w:p>
      <w:pPr>
        <w:spacing w:line="360" w:lineRule="auto"/>
        <w:ind w:firstLine="480"/>
      </w:pPr>
      <w:r>
        <w:rPr>
          <w:rFonts w:hint="eastAsia"/>
        </w:rPr>
        <w:t>6、在重大接待、突发事件处置工作中不力造成恶劣影响；</w:t>
      </w:r>
    </w:p>
    <w:p>
      <w:pPr>
        <w:pStyle w:val="3"/>
        <w:spacing w:before="0" w:after="0" w:line="560" w:lineRule="exact"/>
        <w:rPr>
          <w:rFonts w:ascii="黑体" w:hAnsi="黑体"/>
          <w:b w:val="0"/>
          <w:color w:val="000000" w:themeColor="text1"/>
        </w:rPr>
      </w:pPr>
    </w:p>
    <w:p>
      <w:pPr>
        <w:pStyle w:val="3"/>
        <w:spacing w:before="0" w:after="0" w:line="560" w:lineRule="exact"/>
        <w:rPr>
          <w:rFonts w:ascii="黑体" w:hAnsi="黑体"/>
          <w:b w:val="0"/>
          <w:color w:val="000000" w:themeColor="text1"/>
        </w:rPr>
      </w:pPr>
    </w:p>
    <w:p>
      <w:pPr>
        <w:pStyle w:val="3"/>
        <w:spacing w:before="0" w:after="0" w:line="560" w:lineRule="exact"/>
        <w:rPr>
          <w:rFonts w:ascii="黑体" w:hAnsi="黑体"/>
          <w:b w:val="0"/>
          <w:color w:val="000000" w:themeColor="text1"/>
        </w:rPr>
      </w:pPr>
    </w:p>
    <w:p/>
    <w:p/>
    <w:p/>
    <w:p/>
    <w:p/>
    <w:p/>
    <w:p/>
    <w:p/>
    <w:p/>
    <w:p/>
    <w:p/>
    <w:p/>
    <w:p>
      <w:pPr>
        <w:rPr>
          <w:rFonts w:ascii="黑体" w:hAnsi="黑体"/>
          <w:color w:val="000000" w:themeColor="text1"/>
        </w:rPr>
      </w:pPr>
      <w:r>
        <w:rPr>
          <w:rFonts w:hint="eastAsia" w:ascii="黑体" w:hAnsi="黑体"/>
          <w:color w:val="000000" w:themeColor="text1"/>
        </w:rPr>
        <w:br w:type="page"/>
      </w:r>
    </w:p>
    <w:p>
      <w:pPr>
        <w:pStyle w:val="3"/>
        <w:spacing w:before="0" w:after="0" w:line="560" w:lineRule="exact"/>
        <w:jc w:val="center"/>
        <w:rPr>
          <w:rFonts w:ascii="黑体" w:hAnsi="黑体"/>
          <w:b w:val="0"/>
          <w:color w:val="000000" w:themeColor="text1"/>
        </w:rPr>
      </w:pPr>
      <w:r>
        <w:rPr>
          <w:rFonts w:hint="eastAsia" w:ascii="黑体" w:hAnsi="黑体"/>
          <w:b w:val="0"/>
          <w:color w:val="000000" w:themeColor="text1"/>
        </w:rPr>
        <w:t xml:space="preserve">第五篇  </w:t>
      </w:r>
      <w:bookmarkEnd w:id="49"/>
      <w:bookmarkEnd w:id="50"/>
      <w:r>
        <w:rPr>
          <w:rFonts w:hint="eastAsia" w:ascii="黑体" w:hAnsi="黑体"/>
          <w:b w:val="0"/>
          <w:color w:val="000000" w:themeColor="text1"/>
        </w:rPr>
        <w:t>合同草案条款</w:t>
      </w:r>
      <w:bookmarkEnd w:id="51"/>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一、定义</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（一）甲方（需方）即采购人，是指通过竞争性磋商采购，接受合同货物及服务的各级国家机关、事业单位和团体组织。</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（二）乙方（供方）即成交供应商，是指成交后提供合同货物和服务的自然人、法人及其他组织。</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（三）合同是指由甲乙双方按照竞争性磋商文件和响应文件的实质性内容，通过协商一致达成的书面协议。</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（四）合同价格指以成交价格为依据，在供方全面履行合同义务后，需方（或财政部门）应支付给供方的金额。</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（五）技术资料是指合同货物及其相关的设计、制造、监造、检验、验收等文件（包括图纸、各种文字说明、标准）。</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二、货物内容</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合同包括以下内容：货物名称、型号规格、技术参数、数量（单位）等内容。</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三、合同价格</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（一）合同价格即合同总价。</w:t>
      </w:r>
    </w:p>
    <w:p>
      <w:pPr>
        <w:snapToGrid w:val="0"/>
        <w:spacing w:line="380" w:lineRule="exact"/>
        <w:ind w:firstLine="420" w:firstLineChars="150"/>
        <w:outlineLvl w:val="0"/>
        <w:rPr>
          <w:rFonts w:ascii="方正仿宋_GBK" w:hAnsi="宋体" w:eastAsia="方正仿宋_GBK"/>
          <w:bCs/>
          <w:sz w:val="24"/>
        </w:rPr>
      </w:pPr>
      <w:r>
        <w:rPr>
          <w:rFonts w:hint="eastAsia" w:ascii="方正仿宋_GBK" w:hAnsi="宋体" w:eastAsia="方正仿宋_GBK"/>
          <w:bCs/>
          <w:color w:val="000000" w:themeColor="text1"/>
          <w:sz w:val="28"/>
          <w:szCs w:val="28"/>
        </w:rPr>
        <w:t>（二）</w:t>
      </w:r>
      <w:r>
        <w:rPr>
          <w:rFonts w:hint="eastAsia" w:ascii="方正仿宋_GBK" w:hAnsi="宋体" w:eastAsia="方正仿宋_GBK"/>
          <w:bCs/>
          <w:sz w:val="24"/>
        </w:rPr>
        <w:t>合</w:t>
      </w:r>
      <w:r>
        <w:rPr>
          <w:rFonts w:hint="eastAsia" w:ascii="方正仿宋_GBK" w:hAnsi="宋体" w:eastAsia="方正仿宋_GBK"/>
          <w:bCs/>
          <w:color w:val="000000" w:themeColor="text1"/>
          <w:sz w:val="28"/>
          <w:szCs w:val="28"/>
        </w:rPr>
        <w:t>同价格包括合同货物、技术资料、合同货物的税费、运杂费、保险费、包装费、装卸费及与货物有关的供方应纳的税费，所有税费由乙方负担。</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（三）合同货物单价为不变价。</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四、转包或分包</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（一）本合同范围的货物，应由乙方直接供应，不得转让他人供应；</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（二）非经甲方书面同意，乙方不得将本合同范围的货物全部或部分分包给他人供应；</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（三）如有转让和未经甲方同意的分包行为，甲方有权解除合同，没收履约保证金并追究乙方的违约责任。</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五、质量保证及售后服务</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（一）乙方应按竞争性磋商文件规定的货物性能、技术要求、质量标准向甲方提供未经使用的全新产品。</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（二）乙方提供的货物在质保期内因货物本身的质量问题发生故障，乙方应负责免费更换。对达不到技术要求者，根据实际情况，经双方协商，可按以下办法处理：</w:t>
      </w:r>
    </w:p>
    <w:p>
      <w:pPr>
        <w:snapToGrid w:val="0"/>
        <w:spacing w:line="560" w:lineRule="exact"/>
        <w:ind w:firstLine="560" w:firstLineChars="20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1.更换：由乙方承担所发生的全部费用。</w:t>
      </w:r>
    </w:p>
    <w:p>
      <w:pPr>
        <w:snapToGrid w:val="0"/>
        <w:spacing w:line="560" w:lineRule="exact"/>
        <w:ind w:firstLine="560" w:firstLineChars="20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2.贬值处理：由甲乙双方合议定价。</w:t>
      </w:r>
    </w:p>
    <w:p>
      <w:pPr>
        <w:snapToGrid w:val="0"/>
        <w:spacing w:line="560" w:lineRule="exact"/>
        <w:ind w:firstLine="560" w:firstLineChars="20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3.退货处理：乙方应退还甲方支付的合同款，同时应承担该货物的直接费用（运输、保险、检验、货款利息及银行手续费等）。</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（三）如在使用过程中发生质量问题，乙方应同本项目“第四篇 磋商项目服务需求”对质量保证及售后服务内容的约定。</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（四）在质保期内，乙方应对货物出现的质量及安全问题负责处理解决并承担一切费用。</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六、付款</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（一）本合同使用货币币制如未作特别说明均为人民币。</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（二）付款方式：银行转账、现金支票。</w:t>
      </w:r>
    </w:p>
    <w:p>
      <w:pPr>
        <w:snapToGrid w:val="0"/>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（三）付款方法：同本项目“第三篇  磋商项目技术需求”中关于付款方式的约定。</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七、检查验收</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（一）供方应随货物提供合格证和质量证明文件，如是国外进口的货物还须提供入关证明。</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（二）货物验收</w:t>
      </w:r>
    </w:p>
    <w:p>
      <w:pPr>
        <w:adjustRightInd w:val="0"/>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（三）货物验收报告应由需方、供方经办人签字，并加盖双方公章，以此作为支付凭据。</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八、索赔</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供方对货物与合同要求不符负有责任，并且需方已于规定交货内和质量保证期内提出索赔，供方应按需方同意的下述一种或多种方法解决索赔事宜。</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（二）根据货物的疵劣和受损程度以及需方遭受损失的金额，经双方同意降低货物价格。</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九、知识产权</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（一）甲方在中华人民共和国境内使用乙方提供的货物及服务时免受第三方提出的侵犯其专利权或其它知识产权的起诉。如果第三方提出侵权指控，乙方承担由此而引起的一切法律责任和费用。</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（二）若涉及软件开发等服务类项目知识产权的，知识产权归采购人所有。</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十、合同争议的解决</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（一）当事人友好协商达成一致</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（二）在60天内当事人协商不能达成协议的，可提请采购人当地仲裁机构仲裁。</w:t>
      </w:r>
    </w:p>
    <w:p>
      <w:pPr>
        <w:snapToGrid w:val="0"/>
        <w:spacing w:line="560" w:lineRule="exact"/>
        <w:ind w:firstLine="560" w:firstLineChars="20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十一、违约责任</w:t>
      </w:r>
    </w:p>
    <w:p>
      <w:pPr>
        <w:snapToGrid w:val="0"/>
        <w:spacing w:line="560" w:lineRule="exact"/>
        <w:ind w:firstLine="560" w:firstLineChars="20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按《中华人民共和国民法典》、《中华人民共和国政府采购法》有关条款，或由供需双方约定。</w:t>
      </w:r>
    </w:p>
    <w:p>
      <w:pPr>
        <w:snapToGrid w:val="0"/>
        <w:spacing w:line="560" w:lineRule="exact"/>
        <w:ind w:firstLine="560" w:firstLineChars="20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十二、合同生效及其它</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（一）合同生效及其效力应符合《中华人民共和国民法典》有关规定。</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（二）合同应经当事人法定代表人或委托代理人签字，加盖双方合同专用章或公章。</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（三）合同所包括附件，是合同不可分割的一部分，具有同等法法律效力。</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（四）合同需提供担保的，按《中华人民共和国担保法》规定执行。</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（五）本合同条件未尽事宜依照《中华人民共和国民法典》，由供需双方共同协商确定。</w:t>
      </w:r>
    </w:p>
    <w:p>
      <w:pPr>
        <w:snapToGrid w:val="0"/>
        <w:spacing w:line="560" w:lineRule="exact"/>
        <w:ind w:firstLine="570"/>
        <w:rPr>
          <w:rFonts w:ascii="方正仿宋_GBK" w:hAnsi="宋体" w:eastAsia="方正仿宋_GBK"/>
          <w:color w:val="000000" w:themeColor="text1"/>
          <w:szCs w:val="28"/>
        </w:rPr>
        <w:sectPr>
          <w:footerReference r:id="rId5" w:type="default"/>
          <w:footerReference r:id="rId6" w:type="even"/>
          <w:pgSz w:w="11907" w:h="16840"/>
          <w:pgMar w:top="1134" w:right="1191" w:bottom="1134" w:left="1304" w:header="964" w:footer="992" w:gutter="0"/>
          <w:pgNumType w:fmt="numberInDash"/>
          <w:cols w:space="720" w:num="1"/>
          <w:docGrid w:linePitch="312" w:charSpace="0"/>
        </w:sectPr>
      </w:pPr>
    </w:p>
    <w:p>
      <w:pPr>
        <w:spacing w:line="560" w:lineRule="exact"/>
        <w:rPr>
          <w:rFonts w:ascii="方正仿宋_GBK" w:eastAsia="方正仿宋_GBK"/>
          <w:color w:val="000000" w:themeColor="text1"/>
          <w:szCs w:val="28"/>
        </w:rPr>
      </w:pPr>
      <w:bookmarkStart w:id="56" w:name="_Toc303945820"/>
      <w:bookmarkStart w:id="57" w:name="_Toc148265480"/>
      <w:r>
        <w:rPr>
          <w:rFonts w:hint="eastAsia" w:ascii="方正仿宋_GBK" w:eastAsia="方正仿宋_GBK"/>
          <w:color w:val="000000" w:themeColor="text1"/>
          <w:szCs w:val="28"/>
        </w:rPr>
        <w:t>附页：合同格式</w:t>
      </w:r>
      <w:bookmarkEnd w:id="56"/>
      <w:bookmarkEnd w:id="57"/>
    </w:p>
    <w:p>
      <w:pPr>
        <w:tabs>
          <w:tab w:val="left" w:pos="9000"/>
        </w:tabs>
        <w:spacing w:line="560" w:lineRule="exact"/>
        <w:jc w:val="center"/>
        <w:rPr>
          <w:rFonts w:ascii="方正仿宋_GBK" w:eastAsia="方正仿宋_GBK"/>
          <w:color w:val="000000" w:themeColor="text1"/>
          <w:szCs w:val="28"/>
        </w:rPr>
      </w:pPr>
    </w:p>
    <w:p>
      <w:pPr>
        <w:spacing w:line="560" w:lineRule="exact"/>
        <w:jc w:val="center"/>
        <w:rPr>
          <w:rFonts w:ascii="方正仿宋_GBK" w:hAnsi="楷体" w:eastAsia="方正仿宋_GBK"/>
          <w:color w:val="000000" w:themeColor="text1"/>
          <w:szCs w:val="28"/>
        </w:rPr>
      </w:pPr>
      <w:r>
        <w:rPr>
          <w:rFonts w:ascii="方正仿宋_GBK" w:hAnsi="楷体" w:eastAsia="方正仿宋_GBK"/>
          <w:color w:val="000000" w:themeColor="text1"/>
          <w:szCs w:val="28"/>
        </w:rPr>
        <w:pict>
          <v:shape id="_x0000_s1026" o:spid="_x0000_s1026" o:spt="202" type="#_x0000_t202" style="position:absolute;left:0pt;margin-left:297pt;margin-top:0pt;height:23.4pt;width:90pt;z-index:251659264;mso-width-relative:page;mso-height-relative:page;" filled="f" stroked="f" coordsize="21600,21600">
            <v:path/>
            <v:fill on="f" focussize="0,0"/>
            <v:stroke on="f" joinstyle="miter"/>
            <v:imagedata o:title=""/>
            <o:lock v:ext="edit"/>
            <v:textbox>
              <w:txbxContent>
                <w:p>
                  <w:pPr>
                    <w:rPr>
                      <w:rFonts w:ascii="楷体" w:hAnsi="楷体" w:eastAsia="楷体"/>
                      <w:sz w:val="24"/>
                    </w:rPr>
                  </w:pPr>
                  <w:r>
                    <w:rPr>
                      <w:rFonts w:hint="eastAsia" w:ascii="楷体" w:hAnsi="楷体" w:eastAsia="楷体"/>
                      <w:sz w:val="24"/>
                    </w:rPr>
                    <w:t>合同编号：</w:t>
                  </w:r>
                </w:p>
              </w:txbxContent>
            </v:textbox>
          </v:shape>
        </w:pict>
      </w:r>
    </w:p>
    <w:p>
      <w:pPr>
        <w:spacing w:line="560" w:lineRule="exact"/>
        <w:jc w:val="center"/>
        <w:rPr>
          <w:rFonts w:ascii="方正仿宋_GBK" w:hAnsi="楷体" w:eastAsia="方正仿宋_GBK"/>
          <w:color w:val="000000" w:themeColor="text1"/>
          <w:szCs w:val="28"/>
        </w:rPr>
      </w:pPr>
    </w:p>
    <w:p>
      <w:pPr>
        <w:spacing w:line="560" w:lineRule="exact"/>
        <w:rPr>
          <w:rFonts w:ascii="方正仿宋_GBK" w:hAnsi="楷体" w:eastAsia="方正仿宋_GBK"/>
          <w:color w:val="000000" w:themeColor="text1"/>
          <w:szCs w:val="28"/>
        </w:rPr>
      </w:pPr>
    </w:p>
    <w:p>
      <w:pPr>
        <w:spacing w:line="560" w:lineRule="exact"/>
        <w:rPr>
          <w:rFonts w:ascii="方正小标宋简体" w:hAnsi="楷体" w:eastAsia="方正小标宋简体"/>
          <w:color w:val="000000" w:themeColor="text1"/>
          <w:sz w:val="52"/>
          <w:szCs w:val="52"/>
        </w:rPr>
      </w:pPr>
    </w:p>
    <w:p>
      <w:pPr>
        <w:spacing w:line="900" w:lineRule="exact"/>
        <w:jc w:val="center"/>
        <w:rPr>
          <w:rFonts w:ascii="方正小标宋简体" w:hAnsi="楷体" w:eastAsia="方正小标宋简体"/>
          <w:color w:val="000000" w:themeColor="text1"/>
          <w:sz w:val="84"/>
          <w:szCs w:val="84"/>
        </w:rPr>
      </w:pPr>
      <w:r>
        <w:rPr>
          <w:rFonts w:hint="eastAsia" w:ascii="方正小标宋简体" w:hAnsi="楷体" w:eastAsia="方正小标宋简体"/>
          <w:color w:val="000000" w:themeColor="text1"/>
          <w:sz w:val="84"/>
          <w:szCs w:val="84"/>
        </w:rPr>
        <w:t>重庆市江北区中医院</w:t>
      </w:r>
    </w:p>
    <w:p>
      <w:pPr>
        <w:spacing w:line="900" w:lineRule="exact"/>
        <w:jc w:val="center"/>
        <w:rPr>
          <w:rFonts w:ascii="方正小标宋简体" w:hAnsi="楷体" w:eastAsia="方正小标宋简体"/>
          <w:color w:val="000000" w:themeColor="text1"/>
          <w:sz w:val="84"/>
          <w:szCs w:val="84"/>
        </w:rPr>
      </w:pPr>
      <w:r>
        <w:rPr>
          <w:rFonts w:hint="eastAsia" w:ascii="方正小标宋简体" w:hAnsi="楷体" w:eastAsia="方正小标宋简体"/>
          <w:color w:val="000000" w:themeColor="text1"/>
          <w:sz w:val="84"/>
          <w:szCs w:val="84"/>
        </w:rPr>
        <w:t>采购合同</w:t>
      </w:r>
    </w:p>
    <w:p>
      <w:pPr>
        <w:spacing w:line="640" w:lineRule="exact"/>
        <w:jc w:val="center"/>
        <w:rPr>
          <w:rFonts w:ascii="方正小标宋简体" w:hAnsi="楷体" w:eastAsia="方正小标宋简体"/>
          <w:color w:val="000000" w:themeColor="text1"/>
          <w:sz w:val="52"/>
          <w:szCs w:val="52"/>
        </w:rPr>
      </w:pPr>
    </w:p>
    <w:p>
      <w:pPr>
        <w:spacing w:line="640" w:lineRule="exact"/>
        <w:jc w:val="center"/>
        <w:rPr>
          <w:rFonts w:ascii="方正仿宋_GBK" w:hAnsi="楷体" w:eastAsia="方正仿宋_GBK"/>
          <w:color w:val="000000" w:themeColor="text1"/>
          <w:szCs w:val="28"/>
        </w:rPr>
      </w:pPr>
    </w:p>
    <w:p>
      <w:pPr>
        <w:spacing w:line="640" w:lineRule="exact"/>
        <w:rPr>
          <w:rFonts w:ascii="方正仿宋_GBK" w:hAnsi="楷体" w:eastAsia="方正仿宋_GBK"/>
          <w:color w:val="000000" w:themeColor="text1"/>
          <w:szCs w:val="28"/>
        </w:rPr>
      </w:pPr>
    </w:p>
    <w:p>
      <w:pPr>
        <w:spacing w:line="640" w:lineRule="exact"/>
        <w:rPr>
          <w:rFonts w:ascii="方正仿宋_GBK" w:hAnsi="楷体" w:eastAsia="方正仿宋_GBK"/>
          <w:color w:val="000000" w:themeColor="text1"/>
          <w:szCs w:val="28"/>
        </w:rPr>
      </w:pPr>
    </w:p>
    <w:p>
      <w:pPr>
        <w:spacing w:line="640" w:lineRule="exact"/>
        <w:rPr>
          <w:rFonts w:ascii="方正仿宋_GBK" w:hAnsi="楷体" w:eastAsia="方正仿宋_GBK"/>
          <w:color w:val="000000" w:themeColor="text1"/>
          <w:szCs w:val="28"/>
        </w:rPr>
      </w:pPr>
    </w:p>
    <w:p>
      <w:pPr>
        <w:spacing w:line="640" w:lineRule="exact"/>
        <w:rPr>
          <w:rFonts w:ascii="方正仿宋_GBK" w:hAnsi="楷体" w:eastAsia="方正仿宋_GBK"/>
          <w:color w:val="000000" w:themeColor="text1"/>
          <w:szCs w:val="28"/>
        </w:rPr>
      </w:pPr>
    </w:p>
    <w:p>
      <w:pPr>
        <w:spacing w:line="640" w:lineRule="exact"/>
        <w:ind w:firstLine="1600" w:firstLineChars="500"/>
        <w:rPr>
          <w:rFonts w:ascii="方正仿宋_GBK" w:hAnsi="楷体" w:eastAsia="方正仿宋_GBK"/>
          <w:color w:val="000000" w:themeColor="text1"/>
          <w:sz w:val="32"/>
          <w:szCs w:val="32"/>
        </w:rPr>
      </w:pPr>
      <w:r>
        <w:rPr>
          <w:rFonts w:hint="eastAsia" w:ascii="方正仿宋_GBK" w:hAnsi="楷体" w:eastAsia="方正仿宋_GBK"/>
          <w:color w:val="000000" w:themeColor="text1"/>
          <w:sz w:val="32"/>
          <w:szCs w:val="32"/>
        </w:rPr>
        <w:t>采购标的类型：□货物    □工程    □服务</w:t>
      </w:r>
    </w:p>
    <w:p>
      <w:pPr>
        <w:spacing w:line="640" w:lineRule="exact"/>
        <w:rPr>
          <w:rFonts w:ascii="方正仿宋_GBK" w:hAnsi="楷体" w:eastAsia="方正仿宋_GBK"/>
          <w:color w:val="000000" w:themeColor="text1"/>
          <w:sz w:val="32"/>
          <w:szCs w:val="32"/>
        </w:rPr>
      </w:pPr>
      <w:r>
        <w:rPr>
          <w:rFonts w:hint="eastAsia" w:ascii="方正仿宋_GBK" w:hAnsi="楷体" w:eastAsia="方正仿宋_GBK"/>
          <w:color w:val="000000" w:themeColor="text1"/>
          <w:sz w:val="32"/>
          <w:szCs w:val="32"/>
        </w:rPr>
        <w:t xml:space="preserve">          项 目 号：</w:t>
      </w:r>
    </w:p>
    <w:p>
      <w:pPr>
        <w:spacing w:line="640" w:lineRule="exact"/>
        <w:rPr>
          <w:rFonts w:ascii="方正仿宋_GBK" w:hAnsi="楷体" w:eastAsia="方正仿宋_GBK"/>
          <w:color w:val="000000" w:themeColor="text1"/>
          <w:sz w:val="32"/>
          <w:szCs w:val="32"/>
        </w:rPr>
      </w:pPr>
      <w:r>
        <w:rPr>
          <w:rFonts w:hint="eastAsia" w:ascii="方正仿宋_GBK" w:hAnsi="楷体" w:eastAsia="方正仿宋_GBK"/>
          <w:color w:val="000000" w:themeColor="text1"/>
          <w:sz w:val="32"/>
          <w:szCs w:val="32"/>
        </w:rPr>
        <w:t xml:space="preserve">          用户单位：</w:t>
      </w:r>
    </w:p>
    <w:p>
      <w:pPr>
        <w:spacing w:line="640" w:lineRule="exact"/>
        <w:rPr>
          <w:rFonts w:ascii="方正仿宋_GBK" w:hAnsi="楷体" w:eastAsia="方正仿宋_GBK"/>
          <w:color w:val="000000" w:themeColor="text1"/>
          <w:sz w:val="32"/>
          <w:szCs w:val="32"/>
        </w:rPr>
      </w:pPr>
      <w:r>
        <w:rPr>
          <w:rFonts w:hint="eastAsia" w:ascii="方正仿宋_GBK" w:hAnsi="楷体" w:eastAsia="方正仿宋_GBK"/>
          <w:color w:val="000000" w:themeColor="text1"/>
          <w:sz w:val="32"/>
          <w:szCs w:val="32"/>
        </w:rPr>
        <w:t xml:space="preserve">          合同项目：</w:t>
      </w:r>
    </w:p>
    <w:p>
      <w:pPr>
        <w:spacing w:line="640" w:lineRule="exact"/>
        <w:ind w:firstLine="1600" w:firstLineChars="500"/>
        <w:rPr>
          <w:rFonts w:ascii="方正仿宋_GBK" w:hAnsi="楷体" w:eastAsia="方正仿宋_GBK"/>
          <w:color w:val="000000" w:themeColor="text1"/>
          <w:sz w:val="32"/>
          <w:szCs w:val="32"/>
        </w:rPr>
      </w:pPr>
      <w:r>
        <w:rPr>
          <w:rFonts w:hint="eastAsia" w:ascii="方正仿宋_GBK" w:hAnsi="楷体" w:eastAsia="方正仿宋_GBK"/>
          <w:color w:val="000000" w:themeColor="text1"/>
          <w:sz w:val="32"/>
          <w:szCs w:val="32"/>
        </w:rPr>
        <w:t>合同金额：人民币元</w:t>
      </w:r>
    </w:p>
    <w:p>
      <w:pPr>
        <w:spacing w:line="640" w:lineRule="exact"/>
        <w:ind w:firstLine="1600" w:firstLineChars="500"/>
        <w:rPr>
          <w:rFonts w:ascii="方正仿宋_GBK" w:hAnsi="楷体" w:eastAsia="方正仿宋_GBK"/>
          <w:color w:val="000000" w:themeColor="text1"/>
          <w:sz w:val="32"/>
          <w:szCs w:val="32"/>
        </w:rPr>
      </w:pPr>
      <w:r>
        <w:rPr>
          <w:rFonts w:hint="eastAsia" w:ascii="方正仿宋_GBK" w:hAnsi="楷体" w:eastAsia="方正仿宋_GBK"/>
          <w:color w:val="000000" w:themeColor="text1"/>
          <w:sz w:val="32"/>
          <w:szCs w:val="32"/>
        </w:rPr>
        <w:t>经费科目：</w:t>
      </w:r>
    </w:p>
    <w:p>
      <w:pPr>
        <w:spacing w:line="640" w:lineRule="exact"/>
        <w:ind w:firstLine="1600" w:firstLineChars="500"/>
        <w:rPr>
          <w:rFonts w:ascii="方正仿宋_GBK" w:hAnsi="楷体" w:eastAsia="方正仿宋_GBK"/>
          <w:color w:val="000000" w:themeColor="text1"/>
          <w:sz w:val="32"/>
          <w:szCs w:val="32"/>
        </w:rPr>
      </w:pPr>
      <w:r>
        <w:rPr>
          <w:rFonts w:hint="eastAsia" w:ascii="方正仿宋_GBK" w:hAnsi="楷体" w:eastAsia="方正仿宋_GBK"/>
          <w:color w:val="000000" w:themeColor="text1"/>
          <w:sz w:val="32"/>
          <w:szCs w:val="32"/>
        </w:rPr>
        <w:t>中标单位：公司</w:t>
      </w:r>
    </w:p>
    <w:p>
      <w:pPr>
        <w:spacing w:line="640" w:lineRule="exact"/>
        <w:ind w:firstLine="1600" w:firstLineChars="500"/>
        <w:rPr>
          <w:rFonts w:ascii="方正仿宋_GBK" w:hAnsi="华文细黑" w:eastAsia="方正仿宋_GBK"/>
          <w:color w:val="000000" w:themeColor="text1"/>
          <w:sz w:val="32"/>
          <w:szCs w:val="32"/>
        </w:rPr>
      </w:pPr>
      <w:r>
        <w:rPr>
          <w:rFonts w:hint="eastAsia" w:ascii="方正仿宋_GBK" w:hAnsi="楷体" w:eastAsia="方正仿宋_GBK"/>
          <w:color w:val="000000" w:themeColor="text1"/>
          <w:sz w:val="32"/>
          <w:szCs w:val="32"/>
        </w:rPr>
        <w:t>签订时间：2021年 月 日</w:t>
      </w:r>
    </w:p>
    <w:p>
      <w:pPr>
        <w:pStyle w:val="3"/>
        <w:spacing w:line="500" w:lineRule="exact"/>
        <w:rPr>
          <w:rFonts w:ascii="宋体" w:hAnsi="宋体"/>
          <w:sz w:val="28"/>
          <w:szCs w:val="28"/>
        </w:rPr>
      </w:pPr>
      <w:bookmarkStart w:id="58" w:name="_Toc493506317"/>
      <w:bookmarkStart w:id="59" w:name="_Toc285722713"/>
      <w:bookmarkStart w:id="60" w:name="_Toc277084871"/>
      <w:r>
        <w:rPr>
          <w:rFonts w:hint="eastAsia" w:ascii="仿宋" w:hAnsi="仿宋" w:eastAsia="仿宋"/>
          <w:b w:val="0"/>
          <w:sz w:val="24"/>
        </w:rPr>
        <w:t>二、采购合同（格式）</w:t>
      </w:r>
      <w:bookmarkEnd w:id="58"/>
      <w:bookmarkEnd w:id="59"/>
      <w:bookmarkEnd w:id="60"/>
    </w:p>
    <w:p>
      <w:pPr>
        <w:spacing w:line="320" w:lineRule="exact"/>
        <w:jc w:val="center"/>
        <w:rPr>
          <w:rFonts w:ascii="宋体" w:hAnsi="宋体"/>
          <w:b/>
          <w:color w:val="000000"/>
          <w:sz w:val="40"/>
          <w:szCs w:val="40"/>
        </w:rPr>
      </w:pPr>
      <w:r>
        <w:rPr>
          <w:rFonts w:hint="eastAsia" w:ascii="宋体" w:hAnsi="宋体"/>
          <w:b/>
          <w:color w:val="000000"/>
          <w:sz w:val="40"/>
          <w:szCs w:val="40"/>
        </w:rPr>
        <w:t>重庆市江北区采购合同</w:t>
      </w:r>
    </w:p>
    <w:p>
      <w:pPr>
        <w:spacing w:line="320" w:lineRule="exact"/>
        <w:rPr>
          <w:rFonts w:ascii="宋体" w:hAnsi="宋体"/>
          <w:b/>
          <w:color w:val="000000"/>
          <w:sz w:val="28"/>
          <w:szCs w:val="28"/>
        </w:rPr>
      </w:pPr>
    </w:p>
    <w:p>
      <w:pPr>
        <w:spacing w:line="320" w:lineRule="exact"/>
        <w:rPr>
          <w:rFonts w:ascii="宋体" w:hAnsi="宋体"/>
          <w:sz w:val="28"/>
          <w:szCs w:val="28"/>
          <w:u w:val="single"/>
        </w:rPr>
      </w:pPr>
      <w:r>
        <w:rPr>
          <w:rFonts w:hint="eastAsia" w:ascii="宋体" w:hAnsi="宋体"/>
          <w:b/>
          <w:color w:val="000000"/>
          <w:sz w:val="28"/>
          <w:szCs w:val="28"/>
        </w:rPr>
        <w:t>招标项目名称：</w:t>
      </w:r>
      <w:r>
        <w:rPr>
          <w:rFonts w:hint="eastAsia" w:ascii="宋体" w:hAnsi="宋体"/>
          <w:sz w:val="28"/>
          <w:szCs w:val="28"/>
          <w:u w:val="single"/>
        </w:rPr>
        <w:t>江北区中医院自动监测站在线监测设备采购及运维服务项目</w:t>
      </w:r>
    </w:p>
    <w:p>
      <w:pPr>
        <w:spacing w:line="320" w:lineRule="exact"/>
        <w:rPr>
          <w:rFonts w:ascii="宋体"/>
          <w:b/>
          <w:color w:val="000000"/>
          <w:sz w:val="28"/>
          <w:szCs w:val="28"/>
        </w:rPr>
      </w:pPr>
      <w:r>
        <w:rPr>
          <w:rFonts w:hint="eastAsia" w:ascii="宋体" w:hAnsi="宋体"/>
          <w:b/>
          <w:color w:val="000000"/>
          <w:sz w:val="28"/>
          <w:szCs w:val="28"/>
        </w:rPr>
        <w:t>项目计划编号：</w:t>
      </w:r>
    </w:p>
    <w:p>
      <w:pPr>
        <w:spacing w:line="320" w:lineRule="exact"/>
        <w:rPr>
          <w:rFonts w:ascii="宋体"/>
          <w:b/>
          <w:color w:val="000000"/>
          <w:sz w:val="28"/>
          <w:szCs w:val="28"/>
        </w:rPr>
      </w:pPr>
      <w:r>
        <w:rPr>
          <w:rFonts w:hint="eastAsia" w:ascii="宋体" w:hAnsi="宋体"/>
          <w:b/>
          <w:color w:val="000000"/>
          <w:sz w:val="28"/>
          <w:szCs w:val="28"/>
        </w:rPr>
        <w:t>招标文件编号：</w:t>
      </w:r>
      <w:r>
        <w:rPr>
          <w:rFonts w:ascii="宋体"/>
          <w:b/>
          <w:color w:val="000000"/>
          <w:sz w:val="28"/>
          <w:szCs w:val="28"/>
        </w:rPr>
        <w:t xml:space="preserve"> </w:t>
      </w:r>
    </w:p>
    <w:p>
      <w:pPr>
        <w:tabs>
          <w:tab w:val="left" w:pos="4760"/>
        </w:tabs>
        <w:spacing w:line="320" w:lineRule="exact"/>
        <w:rPr>
          <w:rFonts w:ascii="宋体"/>
          <w:sz w:val="28"/>
          <w:szCs w:val="28"/>
        </w:rPr>
      </w:pPr>
      <w:r>
        <w:rPr>
          <w:rFonts w:hint="eastAsia" w:ascii="宋体" w:hAnsi="宋体"/>
          <w:sz w:val="28"/>
          <w:szCs w:val="28"/>
        </w:rPr>
        <w:t>甲方(需方):</w:t>
      </w:r>
      <w:r>
        <w:rPr>
          <w:rFonts w:hint="eastAsia" w:ascii="宋体" w:hAnsi="宋体"/>
          <w:sz w:val="28"/>
          <w:szCs w:val="28"/>
          <w:u w:val="single"/>
        </w:rPr>
        <w:t>重庆市江北区中医院</w:t>
      </w:r>
      <w:r>
        <w:rPr>
          <w:rFonts w:ascii="宋体"/>
          <w:sz w:val="28"/>
          <w:szCs w:val="28"/>
        </w:rPr>
        <w:tab/>
      </w:r>
      <w:r>
        <w:rPr>
          <w:rFonts w:ascii="宋体" w:hAnsi="宋体"/>
          <w:sz w:val="28"/>
          <w:szCs w:val="28"/>
        </w:rPr>
        <w:t xml:space="preserve">      </w:t>
      </w:r>
      <w:r>
        <w:rPr>
          <w:rFonts w:hint="eastAsia" w:ascii="宋体" w:hAnsi="宋体"/>
          <w:sz w:val="28"/>
          <w:szCs w:val="28"/>
        </w:rPr>
        <w:t xml:space="preserve"> 计价单位： </w:t>
      </w:r>
      <w:r>
        <w:rPr>
          <w:rFonts w:hint="eastAsia" w:ascii="宋体" w:hAnsi="宋体"/>
          <w:sz w:val="28"/>
          <w:szCs w:val="28"/>
          <w:u w:val="single"/>
        </w:rPr>
        <w:t>元</w:t>
      </w:r>
      <w:r>
        <w:rPr>
          <w:rFonts w:hint="eastAsia" w:ascii="宋体" w:hAnsi="宋体"/>
          <w:sz w:val="28"/>
          <w:szCs w:val="28"/>
        </w:rPr>
        <w:t xml:space="preserve"> </w:t>
      </w:r>
    </w:p>
    <w:p>
      <w:pPr>
        <w:tabs>
          <w:tab w:val="left" w:pos="4760"/>
        </w:tabs>
        <w:spacing w:line="320" w:lineRule="exact"/>
        <w:rPr>
          <w:rFonts w:ascii="宋体"/>
          <w:sz w:val="28"/>
          <w:szCs w:val="28"/>
          <w:u w:val="single"/>
        </w:rPr>
      </w:pPr>
      <w:r>
        <w:rPr>
          <w:rFonts w:hint="eastAsia" w:ascii="宋体" w:hAnsi="宋体"/>
          <w:sz w:val="28"/>
          <w:szCs w:val="28"/>
        </w:rPr>
        <w:t>乙方（供方）：</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 xml:space="preserve"> 计量单位： </w:t>
      </w:r>
      <w:r>
        <w:rPr>
          <w:rFonts w:hint="eastAsia" w:ascii="宋体" w:hAnsi="宋体"/>
          <w:sz w:val="28"/>
          <w:szCs w:val="28"/>
          <w:u w:val="single"/>
        </w:rPr>
        <w:t>件</w:t>
      </w:r>
    </w:p>
    <w:p>
      <w:pPr>
        <w:widowControl/>
        <w:shd w:val="clear" w:color="auto" w:fill="FFFFFF"/>
        <w:spacing w:line="560" w:lineRule="exact"/>
        <w:ind w:firstLine="560" w:firstLineChars="200"/>
        <w:rPr>
          <w:rFonts w:ascii="方正仿宋_GBK" w:hAnsi="宋体" w:eastAsia="方正仿宋_GBK"/>
          <w:color w:val="000000"/>
          <w:sz w:val="28"/>
          <w:szCs w:val="28"/>
        </w:rPr>
      </w:pPr>
      <w:r>
        <w:rPr>
          <w:rFonts w:hint="eastAsia" w:ascii="方正仿宋_GBK" w:hAnsi="宋体" w:eastAsia="方正仿宋_GBK"/>
          <w:color w:val="000000"/>
          <w:sz w:val="28"/>
          <w:szCs w:val="28"/>
        </w:rPr>
        <w:t>根据《中华人民共和国民法典》等有关法律、法规的规定，在平等、自愿、协商一致的基础上，就甲方委托乙方对甲方自动监测站设施运营维护外包等服务实行规范、统一、专业化的自动监测站设施运营维护服务，特订立本合同，以便双方共同遵守。</w:t>
      </w:r>
    </w:p>
    <w:p>
      <w:pPr>
        <w:widowControl/>
        <w:shd w:val="clear" w:color="auto" w:fill="FFFFFF"/>
        <w:spacing w:line="560" w:lineRule="exact"/>
        <w:ind w:firstLine="280" w:firstLineChars="100"/>
        <w:rPr>
          <w:rFonts w:ascii="宋体" w:hAnsi="宋体" w:cs="宋体"/>
          <w:kern w:val="0"/>
          <w:sz w:val="28"/>
          <w:szCs w:val="28"/>
        </w:rPr>
      </w:pPr>
      <w:r>
        <w:rPr>
          <w:rFonts w:hint="eastAsia" w:ascii="宋体" w:hAnsi="宋体" w:cs="宋体"/>
          <w:kern w:val="0"/>
          <w:sz w:val="28"/>
          <w:szCs w:val="28"/>
          <w:highlight w:val="yellow"/>
        </w:rPr>
        <w:t>一、江北区中医院自动监测站在线监测设备及站房维修改造外包服务范围</w:t>
      </w:r>
    </w:p>
    <w:tbl>
      <w:tblPr>
        <w:tblStyle w:val="57"/>
        <w:tblpPr w:leftFromText="180" w:rightFromText="180" w:vertAnchor="text" w:horzAnchor="page" w:tblpX="1516" w:tblpY="11"/>
        <w:tblOverlap w:val="never"/>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330"/>
        <w:gridCol w:w="1650"/>
        <w:gridCol w:w="1470"/>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34" w:type="dxa"/>
            <w:vAlign w:val="center"/>
          </w:tcPr>
          <w:p>
            <w:pPr>
              <w:spacing w:line="260" w:lineRule="exact"/>
              <w:jc w:val="center"/>
              <w:rPr>
                <w:rFonts w:ascii="仿宋" w:hAnsi="仿宋" w:eastAsia="仿宋" w:cs="仿宋"/>
                <w:szCs w:val="21"/>
              </w:rPr>
            </w:pPr>
            <w:r>
              <w:rPr>
                <w:rFonts w:hint="eastAsia" w:ascii="仿宋" w:hAnsi="仿宋" w:eastAsia="仿宋" w:cs="仿宋"/>
                <w:szCs w:val="21"/>
              </w:rPr>
              <w:t>序号</w:t>
            </w:r>
          </w:p>
        </w:tc>
        <w:tc>
          <w:tcPr>
            <w:tcW w:w="3330" w:type="dxa"/>
            <w:vAlign w:val="center"/>
          </w:tcPr>
          <w:p>
            <w:pPr>
              <w:spacing w:line="260" w:lineRule="exact"/>
              <w:jc w:val="center"/>
              <w:rPr>
                <w:rFonts w:ascii="仿宋" w:hAnsi="仿宋" w:eastAsia="仿宋" w:cs="仿宋"/>
                <w:szCs w:val="21"/>
              </w:rPr>
            </w:pPr>
            <w:r>
              <w:rPr>
                <w:rFonts w:hint="eastAsia" w:ascii="仿宋" w:hAnsi="仿宋" w:eastAsia="仿宋" w:cs="仿宋"/>
                <w:szCs w:val="21"/>
              </w:rPr>
              <w:t>名称</w:t>
            </w:r>
          </w:p>
        </w:tc>
        <w:tc>
          <w:tcPr>
            <w:tcW w:w="1650" w:type="dxa"/>
            <w:vAlign w:val="center"/>
          </w:tcPr>
          <w:p>
            <w:pPr>
              <w:spacing w:line="260" w:lineRule="exact"/>
              <w:jc w:val="center"/>
              <w:rPr>
                <w:rFonts w:ascii="仿宋" w:hAnsi="仿宋" w:eastAsia="仿宋" w:cs="仿宋"/>
                <w:szCs w:val="21"/>
              </w:rPr>
            </w:pPr>
            <w:r>
              <w:rPr>
                <w:rFonts w:hint="eastAsia" w:ascii="仿宋" w:hAnsi="仿宋" w:eastAsia="仿宋" w:cs="仿宋"/>
                <w:szCs w:val="21"/>
              </w:rPr>
              <w:t>单位</w:t>
            </w:r>
          </w:p>
        </w:tc>
        <w:tc>
          <w:tcPr>
            <w:tcW w:w="1470" w:type="dxa"/>
            <w:vAlign w:val="center"/>
          </w:tcPr>
          <w:p>
            <w:pPr>
              <w:spacing w:line="260" w:lineRule="exact"/>
              <w:jc w:val="center"/>
              <w:rPr>
                <w:rFonts w:ascii="仿宋" w:hAnsi="仿宋" w:eastAsia="仿宋" w:cs="仿宋"/>
                <w:szCs w:val="21"/>
              </w:rPr>
            </w:pPr>
            <w:r>
              <w:rPr>
                <w:rFonts w:hint="eastAsia" w:ascii="仿宋" w:hAnsi="仿宋" w:eastAsia="仿宋" w:cs="仿宋"/>
                <w:szCs w:val="21"/>
              </w:rPr>
              <w:t>数量</w:t>
            </w:r>
          </w:p>
        </w:tc>
        <w:tc>
          <w:tcPr>
            <w:tcW w:w="1914" w:type="dxa"/>
            <w:vAlign w:val="center"/>
          </w:tcPr>
          <w:p>
            <w:pPr>
              <w:spacing w:line="260" w:lineRule="exact"/>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34" w:type="dxa"/>
            <w:vAlign w:val="center"/>
          </w:tcPr>
          <w:p>
            <w:pPr>
              <w:widowControl/>
              <w:spacing w:line="260" w:lineRule="exact"/>
              <w:jc w:val="center"/>
              <w:textAlignment w:val="bottom"/>
              <w:rPr>
                <w:rFonts w:ascii="仿宋" w:hAnsi="仿宋" w:eastAsia="仿宋" w:cs="仿宋"/>
                <w:kern w:val="0"/>
                <w:szCs w:val="21"/>
              </w:rPr>
            </w:pPr>
            <w:r>
              <w:rPr>
                <w:rFonts w:hint="eastAsia" w:ascii="仿宋" w:hAnsi="仿宋" w:eastAsia="仿宋" w:cs="仿宋"/>
                <w:kern w:val="0"/>
                <w:szCs w:val="21"/>
              </w:rPr>
              <w:t>1</w:t>
            </w:r>
          </w:p>
        </w:tc>
        <w:tc>
          <w:tcPr>
            <w:tcW w:w="333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COD在线分析仪</w:t>
            </w:r>
          </w:p>
        </w:tc>
        <w:tc>
          <w:tcPr>
            <w:tcW w:w="165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台</w:t>
            </w:r>
          </w:p>
        </w:tc>
        <w:tc>
          <w:tcPr>
            <w:tcW w:w="1470" w:type="dxa"/>
            <w:vAlign w:val="center"/>
          </w:tcPr>
          <w:p>
            <w:pPr>
              <w:widowControl/>
              <w:tabs>
                <w:tab w:val="center" w:pos="0"/>
                <w:tab w:val="left" w:pos="153"/>
              </w:tabs>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1</w:t>
            </w:r>
          </w:p>
        </w:tc>
        <w:tc>
          <w:tcPr>
            <w:tcW w:w="1914" w:type="dxa"/>
            <w:vAlign w:val="center"/>
          </w:tcPr>
          <w:p>
            <w:pPr>
              <w:widowControl/>
              <w:spacing w:line="260" w:lineRule="exact"/>
              <w:ind w:right="-107" w:rightChars="-51"/>
              <w:jc w:val="center"/>
              <w:textAlignment w:val="bottom"/>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134" w:type="dxa"/>
            <w:vAlign w:val="center"/>
          </w:tcPr>
          <w:p>
            <w:pPr>
              <w:widowControl/>
              <w:spacing w:line="260" w:lineRule="exact"/>
              <w:jc w:val="center"/>
              <w:textAlignment w:val="bottom"/>
              <w:rPr>
                <w:rFonts w:ascii="仿宋" w:hAnsi="仿宋" w:eastAsia="仿宋" w:cs="仿宋"/>
                <w:kern w:val="0"/>
                <w:szCs w:val="21"/>
              </w:rPr>
            </w:pPr>
            <w:r>
              <w:rPr>
                <w:rFonts w:hint="eastAsia" w:ascii="仿宋" w:hAnsi="仿宋" w:eastAsia="仿宋" w:cs="仿宋"/>
                <w:kern w:val="0"/>
                <w:szCs w:val="21"/>
              </w:rPr>
              <w:t>2</w:t>
            </w:r>
          </w:p>
        </w:tc>
        <w:tc>
          <w:tcPr>
            <w:tcW w:w="333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氨氮在线分析仪</w:t>
            </w:r>
          </w:p>
        </w:tc>
        <w:tc>
          <w:tcPr>
            <w:tcW w:w="165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台</w:t>
            </w:r>
          </w:p>
        </w:tc>
        <w:tc>
          <w:tcPr>
            <w:tcW w:w="1470" w:type="dxa"/>
            <w:vAlign w:val="center"/>
          </w:tcPr>
          <w:p>
            <w:pPr>
              <w:widowControl/>
              <w:tabs>
                <w:tab w:val="center" w:pos="0"/>
                <w:tab w:val="left" w:pos="153"/>
              </w:tabs>
              <w:spacing w:line="260" w:lineRule="exact"/>
              <w:ind w:right="-107" w:rightChars="-51"/>
              <w:jc w:val="center"/>
              <w:textAlignment w:val="bottom"/>
              <w:rPr>
                <w:rFonts w:ascii="仿宋" w:hAnsi="仿宋" w:eastAsia="仿宋" w:cs="仿宋"/>
                <w:bCs/>
                <w:kern w:val="0"/>
                <w:szCs w:val="21"/>
              </w:rPr>
            </w:pPr>
            <w:r>
              <w:rPr>
                <w:rFonts w:hint="eastAsia" w:ascii="仿宋" w:hAnsi="仿宋" w:eastAsia="仿宋" w:cs="仿宋"/>
                <w:kern w:val="0"/>
                <w:szCs w:val="21"/>
              </w:rPr>
              <w:t>1</w:t>
            </w:r>
          </w:p>
        </w:tc>
        <w:tc>
          <w:tcPr>
            <w:tcW w:w="1914" w:type="dxa"/>
            <w:vAlign w:val="center"/>
          </w:tcPr>
          <w:p>
            <w:pPr>
              <w:widowControl/>
              <w:spacing w:line="260" w:lineRule="exact"/>
              <w:ind w:right="-107" w:rightChars="-51"/>
              <w:jc w:val="center"/>
              <w:textAlignment w:val="bottom"/>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34" w:type="dxa"/>
            <w:vAlign w:val="center"/>
          </w:tcPr>
          <w:p>
            <w:pPr>
              <w:widowControl/>
              <w:spacing w:line="260" w:lineRule="exact"/>
              <w:jc w:val="center"/>
              <w:textAlignment w:val="bottom"/>
              <w:rPr>
                <w:rFonts w:ascii="仿宋" w:hAnsi="仿宋" w:eastAsia="仿宋" w:cs="仿宋"/>
                <w:kern w:val="0"/>
                <w:szCs w:val="21"/>
              </w:rPr>
            </w:pPr>
            <w:r>
              <w:rPr>
                <w:rFonts w:hint="eastAsia" w:ascii="仿宋" w:hAnsi="仿宋" w:eastAsia="仿宋" w:cs="仿宋"/>
                <w:kern w:val="0"/>
                <w:szCs w:val="21"/>
              </w:rPr>
              <w:t>3</w:t>
            </w:r>
          </w:p>
        </w:tc>
        <w:tc>
          <w:tcPr>
            <w:tcW w:w="333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PH仪</w:t>
            </w:r>
          </w:p>
        </w:tc>
        <w:tc>
          <w:tcPr>
            <w:tcW w:w="165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台</w:t>
            </w:r>
          </w:p>
        </w:tc>
        <w:tc>
          <w:tcPr>
            <w:tcW w:w="1470" w:type="dxa"/>
            <w:vAlign w:val="center"/>
          </w:tcPr>
          <w:p>
            <w:pPr>
              <w:widowControl/>
              <w:tabs>
                <w:tab w:val="center" w:pos="0"/>
                <w:tab w:val="left" w:pos="153"/>
              </w:tabs>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1</w:t>
            </w:r>
          </w:p>
        </w:tc>
        <w:tc>
          <w:tcPr>
            <w:tcW w:w="1914" w:type="dxa"/>
            <w:vAlign w:val="center"/>
          </w:tcPr>
          <w:p>
            <w:pPr>
              <w:widowControl/>
              <w:spacing w:line="260" w:lineRule="exact"/>
              <w:ind w:right="-107" w:rightChars="-51"/>
              <w:jc w:val="center"/>
              <w:textAlignment w:val="bottom"/>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4" w:type="dxa"/>
            <w:vAlign w:val="center"/>
          </w:tcPr>
          <w:p>
            <w:pPr>
              <w:widowControl/>
              <w:spacing w:line="260" w:lineRule="exact"/>
              <w:jc w:val="center"/>
              <w:textAlignment w:val="bottom"/>
              <w:rPr>
                <w:rFonts w:ascii="仿宋" w:hAnsi="仿宋" w:eastAsia="仿宋" w:cs="仿宋"/>
                <w:kern w:val="0"/>
                <w:szCs w:val="21"/>
              </w:rPr>
            </w:pPr>
            <w:r>
              <w:rPr>
                <w:rFonts w:hint="eastAsia" w:ascii="仿宋" w:hAnsi="仿宋" w:eastAsia="仿宋" w:cs="仿宋"/>
                <w:kern w:val="0"/>
                <w:szCs w:val="21"/>
              </w:rPr>
              <w:t>4</w:t>
            </w:r>
          </w:p>
        </w:tc>
        <w:tc>
          <w:tcPr>
            <w:tcW w:w="333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数采仪</w:t>
            </w:r>
          </w:p>
        </w:tc>
        <w:tc>
          <w:tcPr>
            <w:tcW w:w="165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台</w:t>
            </w:r>
          </w:p>
        </w:tc>
        <w:tc>
          <w:tcPr>
            <w:tcW w:w="1470" w:type="dxa"/>
            <w:vAlign w:val="center"/>
          </w:tcPr>
          <w:p>
            <w:pPr>
              <w:widowControl/>
              <w:tabs>
                <w:tab w:val="center" w:pos="0"/>
                <w:tab w:val="left" w:pos="153"/>
              </w:tabs>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1</w:t>
            </w:r>
          </w:p>
        </w:tc>
        <w:tc>
          <w:tcPr>
            <w:tcW w:w="1914" w:type="dxa"/>
            <w:vAlign w:val="center"/>
          </w:tcPr>
          <w:p>
            <w:pPr>
              <w:widowControl/>
              <w:spacing w:line="260" w:lineRule="exact"/>
              <w:ind w:right="-107" w:rightChars="-51"/>
              <w:jc w:val="center"/>
              <w:textAlignment w:val="bottom"/>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4" w:type="dxa"/>
            <w:vAlign w:val="center"/>
          </w:tcPr>
          <w:p>
            <w:pPr>
              <w:widowControl/>
              <w:spacing w:line="260" w:lineRule="exact"/>
              <w:jc w:val="center"/>
              <w:textAlignment w:val="bottom"/>
              <w:rPr>
                <w:rFonts w:ascii="仿宋" w:hAnsi="仿宋" w:eastAsia="仿宋" w:cs="仿宋"/>
                <w:kern w:val="0"/>
                <w:szCs w:val="21"/>
              </w:rPr>
            </w:pPr>
            <w:r>
              <w:rPr>
                <w:rFonts w:hint="eastAsia" w:ascii="仿宋" w:hAnsi="仿宋" w:eastAsia="仿宋" w:cs="仿宋"/>
                <w:kern w:val="0"/>
                <w:szCs w:val="21"/>
              </w:rPr>
              <w:t>5</w:t>
            </w:r>
          </w:p>
        </w:tc>
        <w:tc>
          <w:tcPr>
            <w:tcW w:w="333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szCs w:val="21"/>
              </w:rPr>
              <w:t>站房翻新</w:t>
            </w:r>
          </w:p>
        </w:tc>
        <w:tc>
          <w:tcPr>
            <w:tcW w:w="165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项</w:t>
            </w:r>
          </w:p>
        </w:tc>
        <w:tc>
          <w:tcPr>
            <w:tcW w:w="1470" w:type="dxa"/>
            <w:vAlign w:val="center"/>
          </w:tcPr>
          <w:p>
            <w:pPr>
              <w:widowControl/>
              <w:tabs>
                <w:tab w:val="center" w:pos="0"/>
                <w:tab w:val="left" w:pos="153"/>
              </w:tabs>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1</w:t>
            </w:r>
          </w:p>
        </w:tc>
        <w:tc>
          <w:tcPr>
            <w:tcW w:w="1914" w:type="dxa"/>
            <w:vAlign w:val="center"/>
          </w:tcPr>
          <w:p>
            <w:pPr>
              <w:widowControl/>
              <w:spacing w:line="260" w:lineRule="exact"/>
              <w:ind w:right="-107" w:rightChars="-51"/>
              <w:jc w:val="center"/>
              <w:textAlignment w:val="bottom"/>
              <w:rPr>
                <w:rFonts w:ascii="仿宋" w:hAnsi="仿宋" w:eastAsia="仿宋" w:cs="仿宋"/>
                <w:szCs w:val="21"/>
              </w:rPr>
            </w:pPr>
            <w:r>
              <w:rPr>
                <w:rFonts w:hint="eastAsia" w:ascii="仿宋" w:hAnsi="仿宋" w:eastAsia="仿宋" w:cs="仿宋"/>
                <w:szCs w:val="21"/>
              </w:rPr>
              <w:t>由供应商自行勘察现场，根据已有站房的现场实际情况改造站房，含房屋装修、洗手台、给排水管路、排风扇、照明、辅材以及数据集成、安装及调试及验收。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4" w:type="dxa"/>
            <w:vAlign w:val="center"/>
          </w:tcPr>
          <w:p>
            <w:pPr>
              <w:widowControl/>
              <w:spacing w:line="260" w:lineRule="exact"/>
              <w:jc w:val="center"/>
              <w:textAlignment w:val="bottom"/>
              <w:rPr>
                <w:rFonts w:ascii="仿宋" w:hAnsi="仿宋" w:eastAsia="仿宋" w:cs="仿宋"/>
                <w:kern w:val="0"/>
                <w:szCs w:val="21"/>
              </w:rPr>
            </w:pPr>
            <w:r>
              <w:rPr>
                <w:rFonts w:hint="eastAsia" w:ascii="仿宋" w:hAnsi="仿宋" w:eastAsia="仿宋" w:cs="仿宋"/>
                <w:kern w:val="0"/>
                <w:szCs w:val="21"/>
              </w:rPr>
              <w:t>6</w:t>
            </w:r>
          </w:p>
        </w:tc>
        <w:tc>
          <w:tcPr>
            <w:tcW w:w="333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安装调试</w:t>
            </w:r>
          </w:p>
        </w:tc>
        <w:tc>
          <w:tcPr>
            <w:tcW w:w="165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项</w:t>
            </w:r>
          </w:p>
        </w:tc>
        <w:tc>
          <w:tcPr>
            <w:tcW w:w="1470" w:type="dxa"/>
            <w:vAlign w:val="center"/>
          </w:tcPr>
          <w:p>
            <w:pPr>
              <w:widowControl/>
              <w:tabs>
                <w:tab w:val="center" w:pos="0"/>
                <w:tab w:val="left" w:pos="153"/>
              </w:tabs>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1</w:t>
            </w:r>
          </w:p>
        </w:tc>
        <w:tc>
          <w:tcPr>
            <w:tcW w:w="1914" w:type="dxa"/>
            <w:vAlign w:val="center"/>
          </w:tcPr>
          <w:p>
            <w:pPr>
              <w:widowControl/>
              <w:spacing w:line="260" w:lineRule="exact"/>
              <w:ind w:right="-107" w:rightChars="-51"/>
              <w:jc w:val="center"/>
              <w:textAlignment w:val="bottom"/>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4" w:type="dxa"/>
            <w:vAlign w:val="center"/>
          </w:tcPr>
          <w:p>
            <w:pPr>
              <w:widowControl/>
              <w:spacing w:line="260" w:lineRule="exact"/>
              <w:jc w:val="center"/>
              <w:textAlignment w:val="bottom"/>
              <w:rPr>
                <w:rFonts w:ascii="仿宋" w:hAnsi="仿宋" w:eastAsia="仿宋" w:cs="仿宋"/>
                <w:kern w:val="0"/>
                <w:szCs w:val="21"/>
              </w:rPr>
            </w:pPr>
            <w:r>
              <w:rPr>
                <w:rFonts w:hint="eastAsia" w:ascii="仿宋" w:hAnsi="仿宋" w:eastAsia="仿宋" w:cs="仿宋"/>
                <w:kern w:val="0"/>
                <w:szCs w:val="21"/>
              </w:rPr>
              <w:t>7</w:t>
            </w:r>
          </w:p>
        </w:tc>
        <w:tc>
          <w:tcPr>
            <w:tcW w:w="333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比对验收</w:t>
            </w:r>
          </w:p>
        </w:tc>
        <w:tc>
          <w:tcPr>
            <w:tcW w:w="165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项</w:t>
            </w:r>
          </w:p>
        </w:tc>
        <w:tc>
          <w:tcPr>
            <w:tcW w:w="1470" w:type="dxa"/>
            <w:vAlign w:val="center"/>
          </w:tcPr>
          <w:p>
            <w:pPr>
              <w:widowControl/>
              <w:tabs>
                <w:tab w:val="center" w:pos="0"/>
                <w:tab w:val="left" w:pos="153"/>
              </w:tabs>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1</w:t>
            </w:r>
          </w:p>
        </w:tc>
        <w:tc>
          <w:tcPr>
            <w:tcW w:w="1914" w:type="dxa"/>
            <w:vAlign w:val="center"/>
          </w:tcPr>
          <w:p>
            <w:pPr>
              <w:widowControl/>
              <w:spacing w:line="260" w:lineRule="exact"/>
              <w:ind w:right="-107" w:rightChars="-51"/>
              <w:jc w:val="center"/>
              <w:textAlignment w:val="bottom"/>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4" w:type="dxa"/>
            <w:vAlign w:val="center"/>
          </w:tcPr>
          <w:p>
            <w:pPr>
              <w:widowControl/>
              <w:spacing w:line="260" w:lineRule="exact"/>
              <w:jc w:val="center"/>
              <w:textAlignment w:val="bottom"/>
              <w:rPr>
                <w:rFonts w:ascii="仿宋" w:hAnsi="仿宋" w:eastAsia="仿宋" w:cs="仿宋"/>
                <w:kern w:val="0"/>
                <w:szCs w:val="21"/>
              </w:rPr>
            </w:pPr>
            <w:r>
              <w:rPr>
                <w:rFonts w:hint="eastAsia" w:ascii="仿宋" w:hAnsi="仿宋" w:eastAsia="仿宋" w:cs="仿宋"/>
                <w:kern w:val="0"/>
                <w:szCs w:val="21"/>
              </w:rPr>
              <w:t>8</w:t>
            </w:r>
          </w:p>
        </w:tc>
        <w:tc>
          <w:tcPr>
            <w:tcW w:w="333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运行维护</w:t>
            </w:r>
          </w:p>
        </w:tc>
        <w:tc>
          <w:tcPr>
            <w:tcW w:w="165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年</w:t>
            </w:r>
          </w:p>
        </w:tc>
        <w:tc>
          <w:tcPr>
            <w:tcW w:w="1470" w:type="dxa"/>
            <w:vAlign w:val="center"/>
          </w:tcPr>
          <w:p>
            <w:pPr>
              <w:widowControl/>
              <w:tabs>
                <w:tab w:val="center" w:pos="0"/>
                <w:tab w:val="left" w:pos="153"/>
              </w:tabs>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1</w:t>
            </w:r>
          </w:p>
        </w:tc>
        <w:tc>
          <w:tcPr>
            <w:tcW w:w="1914" w:type="dxa"/>
            <w:vAlign w:val="center"/>
          </w:tcPr>
          <w:p>
            <w:pPr>
              <w:widowControl/>
              <w:spacing w:line="260" w:lineRule="exact"/>
              <w:ind w:right="-107" w:rightChars="-51"/>
              <w:jc w:val="center"/>
              <w:textAlignment w:val="bottom"/>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4" w:type="dxa"/>
            <w:vAlign w:val="center"/>
          </w:tcPr>
          <w:p>
            <w:pPr>
              <w:widowControl/>
              <w:spacing w:line="260" w:lineRule="exact"/>
              <w:jc w:val="center"/>
              <w:textAlignment w:val="bottom"/>
              <w:rPr>
                <w:rFonts w:ascii="仿宋" w:hAnsi="仿宋" w:eastAsia="仿宋" w:cs="仿宋"/>
                <w:kern w:val="0"/>
                <w:szCs w:val="21"/>
              </w:rPr>
            </w:pPr>
            <w:r>
              <w:rPr>
                <w:rFonts w:hint="eastAsia" w:ascii="仿宋" w:hAnsi="仿宋" w:eastAsia="仿宋" w:cs="仿宋"/>
                <w:kern w:val="0"/>
                <w:szCs w:val="21"/>
              </w:rPr>
              <w:t>9</w:t>
            </w:r>
          </w:p>
        </w:tc>
        <w:tc>
          <w:tcPr>
            <w:tcW w:w="333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流量计移机</w:t>
            </w:r>
          </w:p>
        </w:tc>
        <w:tc>
          <w:tcPr>
            <w:tcW w:w="165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项</w:t>
            </w:r>
          </w:p>
        </w:tc>
        <w:tc>
          <w:tcPr>
            <w:tcW w:w="1470" w:type="dxa"/>
            <w:vAlign w:val="center"/>
          </w:tcPr>
          <w:p>
            <w:pPr>
              <w:widowControl/>
              <w:tabs>
                <w:tab w:val="center" w:pos="0"/>
                <w:tab w:val="left" w:pos="153"/>
              </w:tabs>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1</w:t>
            </w:r>
          </w:p>
        </w:tc>
        <w:tc>
          <w:tcPr>
            <w:tcW w:w="1914" w:type="dxa"/>
            <w:vAlign w:val="center"/>
          </w:tcPr>
          <w:p>
            <w:pPr>
              <w:widowControl/>
              <w:spacing w:line="260" w:lineRule="exact"/>
              <w:ind w:right="-107" w:rightChars="-51"/>
              <w:jc w:val="center"/>
              <w:textAlignment w:val="bottom"/>
              <w:rPr>
                <w:rFonts w:ascii="仿宋" w:hAnsi="仿宋" w:eastAsia="仿宋" w:cs="仿宋"/>
                <w:kern w:val="0"/>
                <w:szCs w:val="21"/>
              </w:rPr>
            </w:pPr>
          </w:p>
        </w:tc>
      </w:tr>
    </w:tbl>
    <w:p>
      <w:pPr>
        <w:spacing w:line="400" w:lineRule="exact"/>
        <w:ind w:firstLine="560" w:firstLineChars="200"/>
        <w:rPr>
          <w:rFonts w:ascii="方正仿宋_GBK" w:hAnsi="宋体" w:eastAsia="方正仿宋_GBK"/>
          <w:color w:val="000000"/>
          <w:sz w:val="28"/>
          <w:szCs w:val="28"/>
        </w:rPr>
      </w:pPr>
      <w:r>
        <w:rPr>
          <w:rFonts w:hint="eastAsia" w:ascii="方正仿宋_GBK" w:hAnsi="宋体" w:eastAsia="方正仿宋_GBK"/>
          <w:color w:val="000000"/>
          <w:sz w:val="28"/>
          <w:szCs w:val="28"/>
        </w:rPr>
        <w:t>二. 总体要求</w:t>
      </w:r>
    </w:p>
    <w:p>
      <w:pPr>
        <w:autoSpaceDE w:val="0"/>
        <w:autoSpaceDN w:val="0"/>
        <w:adjustRightInd w:val="0"/>
        <w:ind w:firstLine="480" w:firstLineChars="200"/>
        <w:jc w:val="left"/>
        <w:rPr>
          <w:rFonts w:ascii="Times" w:hAnsi="Times" w:eastAsia="Songti SC" w:cs="Times"/>
          <w:color w:val="000000"/>
          <w:kern w:val="0"/>
          <w:sz w:val="24"/>
        </w:rPr>
      </w:pPr>
      <w:r>
        <w:rPr>
          <w:rFonts w:hint="eastAsia" w:ascii="宋体" w:hAnsi="宋体" w:cs="宋体"/>
          <w:color w:val="000000"/>
          <w:kern w:val="0"/>
          <w:sz w:val="24"/>
        </w:rPr>
        <w:t>运行维护化学需氧量在线检测仪</w:t>
      </w:r>
      <w:r>
        <w:rPr>
          <w:rFonts w:hint="eastAsia" w:ascii="Malgun Gothic Semilight" w:hAnsi="Malgun Gothic Semilight" w:eastAsia="Malgun Gothic Semilight" w:cs="Malgun Gothic Semilight"/>
          <w:color w:val="000000"/>
          <w:kern w:val="0"/>
          <w:sz w:val="24"/>
        </w:rPr>
        <w:t>、</w:t>
      </w:r>
      <w:r>
        <w:rPr>
          <w:rFonts w:hint="eastAsia" w:ascii="宋体" w:hAnsi="宋体" w:cs="宋体"/>
          <w:color w:val="000000"/>
          <w:kern w:val="0"/>
          <w:sz w:val="24"/>
        </w:rPr>
        <w:t>氨氮在线检测仪</w:t>
      </w:r>
      <w:r>
        <w:rPr>
          <w:rFonts w:hint="eastAsia" w:ascii="Malgun Gothic Semilight" w:hAnsi="Malgun Gothic Semilight" w:eastAsia="Malgun Gothic Semilight" w:cs="Malgun Gothic Semilight"/>
          <w:color w:val="000000"/>
          <w:kern w:val="0"/>
          <w:sz w:val="24"/>
        </w:rPr>
        <w:t>、</w:t>
      </w:r>
      <w:r>
        <w:rPr>
          <w:rFonts w:hint="eastAsia" w:ascii="宋体" w:hAnsi="宋体" w:cs="宋体"/>
          <w:color w:val="000000"/>
          <w:kern w:val="0"/>
          <w:sz w:val="24"/>
        </w:rPr>
        <w:t>以及</w:t>
      </w:r>
      <w:r>
        <w:rPr>
          <w:rFonts w:hint="eastAsia" w:ascii="Times" w:hAnsi="Times" w:eastAsia="Songti SC" w:cs="Times"/>
          <w:color w:val="000000"/>
          <w:kern w:val="0"/>
          <w:sz w:val="24"/>
        </w:rPr>
        <w:t>PH</w:t>
      </w:r>
      <w:r>
        <w:rPr>
          <w:rFonts w:hint="eastAsia" w:ascii="宋体" w:hAnsi="宋体" w:cs="宋体"/>
          <w:color w:val="000000"/>
          <w:kern w:val="0"/>
          <w:sz w:val="24"/>
        </w:rPr>
        <w:t>计</w:t>
      </w:r>
      <w:r>
        <w:rPr>
          <w:rFonts w:hint="eastAsia" w:ascii="Malgun Gothic Semilight" w:hAnsi="Malgun Gothic Semilight" w:eastAsia="Malgun Gothic Semilight" w:cs="Malgun Gothic Semilight"/>
          <w:color w:val="000000"/>
          <w:kern w:val="0"/>
          <w:sz w:val="24"/>
        </w:rPr>
        <w:t>、</w:t>
      </w:r>
      <w:r>
        <w:rPr>
          <w:rFonts w:hint="eastAsia" w:ascii="宋体" w:hAnsi="宋体" w:cs="宋体"/>
          <w:color w:val="000000"/>
          <w:kern w:val="0"/>
          <w:sz w:val="24"/>
        </w:rPr>
        <w:t>流量计</w:t>
      </w:r>
      <w:r>
        <w:rPr>
          <w:rFonts w:hint="eastAsia" w:ascii="Malgun Gothic Semilight" w:hAnsi="Malgun Gothic Semilight" w:eastAsia="Malgun Gothic Semilight" w:cs="Malgun Gothic Semilight"/>
          <w:color w:val="000000"/>
          <w:kern w:val="0"/>
          <w:sz w:val="24"/>
        </w:rPr>
        <w:t>、</w:t>
      </w:r>
      <w:r>
        <w:rPr>
          <w:rFonts w:hint="eastAsia" w:ascii="宋体" w:hAnsi="宋体" w:cs="宋体"/>
          <w:color w:val="000000"/>
          <w:kern w:val="0"/>
          <w:sz w:val="24"/>
        </w:rPr>
        <w:t>数采仪</w:t>
      </w:r>
      <w:r>
        <w:rPr>
          <w:rFonts w:hint="eastAsia" w:ascii="Malgun Gothic Semilight" w:hAnsi="Malgun Gothic Semilight" w:eastAsia="Malgun Gothic Semilight" w:cs="Malgun Gothic Semilight"/>
          <w:color w:val="000000"/>
          <w:kern w:val="0"/>
          <w:sz w:val="24"/>
        </w:rPr>
        <w:t>、</w:t>
      </w:r>
      <w:r>
        <w:rPr>
          <w:rFonts w:hint="eastAsia" w:ascii="宋体" w:hAnsi="宋体" w:cs="宋体"/>
          <w:color w:val="000000"/>
          <w:kern w:val="0"/>
          <w:sz w:val="24"/>
        </w:rPr>
        <w:t>采排水系统等所有附属仪表</w:t>
      </w:r>
      <w:r>
        <w:rPr>
          <w:rFonts w:hint="eastAsia" w:ascii="Malgun Gothic Semilight" w:hAnsi="Malgun Gothic Semilight" w:eastAsia="Malgun Gothic Semilight" w:cs="Malgun Gothic Semilight"/>
          <w:color w:val="000000"/>
          <w:kern w:val="0"/>
          <w:sz w:val="24"/>
        </w:rPr>
        <w:t>、</w:t>
      </w:r>
      <w:r>
        <w:rPr>
          <w:rFonts w:hint="eastAsia" w:ascii="宋体" w:hAnsi="宋体" w:cs="宋体"/>
          <w:color w:val="000000"/>
          <w:kern w:val="0"/>
          <w:sz w:val="24"/>
        </w:rPr>
        <w:t>设施</w:t>
      </w:r>
      <w:r>
        <w:rPr>
          <w:rFonts w:hint="eastAsia" w:ascii="Malgun Gothic Semilight" w:hAnsi="Malgun Gothic Semilight" w:eastAsia="Malgun Gothic Semilight" w:cs="Malgun Gothic Semilight"/>
          <w:color w:val="000000"/>
          <w:kern w:val="0"/>
          <w:sz w:val="24"/>
        </w:rPr>
        <w:t>。</w:t>
      </w:r>
    </w:p>
    <w:p>
      <w:pPr>
        <w:numPr>
          <w:ilvl w:val="0"/>
          <w:numId w:val="5"/>
        </w:numPr>
        <w:autoSpaceDE w:val="0"/>
        <w:autoSpaceDN w:val="0"/>
        <w:adjustRightInd w:val="0"/>
        <w:jc w:val="left"/>
        <w:rPr>
          <w:rFonts w:ascii="Times" w:hAnsi="Times" w:eastAsia="Songti SC" w:cs="Times"/>
          <w:color w:val="000000"/>
          <w:kern w:val="0"/>
          <w:sz w:val="24"/>
        </w:rPr>
      </w:pPr>
      <w:r>
        <w:rPr>
          <w:rFonts w:hint="eastAsia" w:ascii="宋体" w:hAnsi="宋体" w:cs="宋体"/>
          <w:color w:val="000000"/>
          <w:kern w:val="0"/>
          <w:sz w:val="24"/>
        </w:rPr>
        <w:t>每周现场工作内容</w:t>
      </w:r>
      <w:r>
        <w:rPr>
          <w:rFonts w:hint="eastAsia" w:ascii="Malgun Gothic Semilight" w:hAnsi="Malgun Gothic Semilight" w:eastAsia="Malgun Gothic Semilight" w:cs="Malgun Gothic Semilight"/>
          <w:color w:val="000000"/>
          <w:kern w:val="0"/>
          <w:sz w:val="24"/>
        </w:rPr>
        <w:t>（</w:t>
      </w:r>
      <w:r>
        <w:rPr>
          <w:rFonts w:hint="eastAsia" w:ascii="宋体" w:hAnsi="宋体" w:cs="宋体"/>
          <w:color w:val="000000"/>
          <w:kern w:val="0"/>
          <w:sz w:val="24"/>
        </w:rPr>
        <w:t>每周</w:t>
      </w:r>
      <w:r>
        <w:rPr>
          <w:rFonts w:hint="eastAsia" w:ascii="Times" w:hAnsi="Times" w:eastAsia="Songti SC" w:cs="Times"/>
          <w:color w:val="000000"/>
          <w:kern w:val="0"/>
          <w:sz w:val="24"/>
        </w:rPr>
        <w:t>1—2</w:t>
      </w:r>
      <w:r>
        <w:rPr>
          <w:rFonts w:hint="eastAsia" w:ascii="宋体" w:hAnsi="宋体" w:cs="宋体"/>
          <w:color w:val="000000"/>
          <w:kern w:val="0"/>
          <w:sz w:val="24"/>
        </w:rPr>
        <w:t>次</w:t>
      </w:r>
      <w:r>
        <w:rPr>
          <w:rFonts w:hint="eastAsia" w:ascii="Malgun Gothic Semilight" w:hAnsi="Malgun Gothic Semilight" w:eastAsia="Malgun Gothic Semilight" w:cs="Malgun Gothic Semilight"/>
          <w:color w:val="000000"/>
          <w:kern w:val="0"/>
          <w:sz w:val="24"/>
        </w:rPr>
        <w:t>）</w:t>
      </w:r>
    </w:p>
    <w:p>
      <w:pPr>
        <w:autoSpaceDE w:val="0"/>
        <w:autoSpaceDN w:val="0"/>
        <w:adjustRightInd w:val="0"/>
        <w:jc w:val="left"/>
        <w:rPr>
          <w:rFonts w:ascii="Times" w:hAnsi="Times" w:eastAsia="Songti SC" w:cs="Times"/>
          <w:color w:val="000000"/>
          <w:kern w:val="0"/>
          <w:sz w:val="24"/>
        </w:rPr>
      </w:pPr>
      <w:r>
        <w:rPr>
          <w:rFonts w:hint="eastAsia" w:ascii="Times" w:hAnsi="Times" w:eastAsia="Songti SC" w:cs="Times"/>
          <w:color w:val="000000"/>
          <w:kern w:val="0"/>
          <w:sz w:val="24"/>
        </w:rPr>
        <w:t>1、</w:t>
      </w:r>
      <w:r>
        <w:rPr>
          <w:rFonts w:hint="eastAsia" w:ascii="宋体" w:hAnsi="宋体" w:cs="宋体"/>
          <w:color w:val="000000"/>
          <w:kern w:val="0"/>
          <w:sz w:val="24"/>
        </w:rPr>
        <w:t>检查调整各台自动分析仪及辅助设备的运行状态和主要技术参数</w:t>
      </w:r>
      <w:r>
        <w:rPr>
          <w:rFonts w:hint="eastAsia" w:ascii="Malgun Gothic Semilight" w:hAnsi="Malgun Gothic Semilight" w:eastAsia="Malgun Gothic Semilight" w:cs="Malgun Gothic Semilight"/>
          <w:color w:val="000000"/>
          <w:kern w:val="0"/>
          <w:sz w:val="24"/>
        </w:rPr>
        <w:t>，</w:t>
      </w:r>
      <w:r>
        <w:rPr>
          <w:rFonts w:hint="eastAsia" w:ascii="宋体" w:hAnsi="宋体" w:cs="宋体"/>
          <w:color w:val="000000"/>
          <w:kern w:val="0"/>
          <w:sz w:val="24"/>
        </w:rPr>
        <w:t>保证运行正常</w:t>
      </w:r>
      <w:r>
        <w:rPr>
          <w:rFonts w:hint="eastAsia" w:ascii="Malgun Gothic Semilight" w:hAnsi="Malgun Gothic Semilight" w:eastAsia="Malgun Gothic Semilight" w:cs="Malgun Gothic Semilight"/>
          <w:color w:val="000000"/>
          <w:kern w:val="0"/>
          <w:sz w:val="24"/>
        </w:rPr>
        <w:t>。</w:t>
      </w:r>
    </w:p>
    <w:p>
      <w:pPr>
        <w:autoSpaceDE w:val="0"/>
        <w:autoSpaceDN w:val="0"/>
        <w:adjustRightInd w:val="0"/>
        <w:jc w:val="left"/>
        <w:rPr>
          <w:rFonts w:ascii="Times" w:hAnsi="Times" w:eastAsia="Songti SC" w:cs="Times"/>
          <w:color w:val="000000"/>
          <w:kern w:val="0"/>
          <w:sz w:val="24"/>
        </w:rPr>
      </w:pPr>
      <w:r>
        <w:rPr>
          <w:rFonts w:hint="eastAsia" w:ascii="Times" w:hAnsi="Times" w:eastAsia="Songti SC" w:cs="Times"/>
          <w:color w:val="000000"/>
          <w:kern w:val="0"/>
          <w:sz w:val="24"/>
        </w:rPr>
        <w:t>2、</w:t>
      </w:r>
      <w:r>
        <w:rPr>
          <w:rFonts w:hint="eastAsia" w:ascii="宋体" w:hAnsi="宋体" w:cs="宋体"/>
          <w:color w:val="000000"/>
          <w:kern w:val="0"/>
          <w:sz w:val="24"/>
        </w:rPr>
        <w:t>检查自来水供应</w:t>
      </w:r>
      <w:r>
        <w:rPr>
          <w:rFonts w:hint="eastAsia" w:ascii="Malgun Gothic Semilight" w:hAnsi="Malgun Gothic Semilight" w:eastAsia="Malgun Gothic Semilight" w:cs="Malgun Gothic Semilight"/>
          <w:color w:val="000000"/>
          <w:kern w:val="0"/>
          <w:sz w:val="24"/>
        </w:rPr>
        <w:t>、</w:t>
      </w:r>
      <w:r>
        <w:rPr>
          <w:rFonts w:hint="eastAsia" w:ascii="宋体" w:hAnsi="宋体" w:cs="宋体"/>
          <w:color w:val="000000"/>
          <w:kern w:val="0"/>
          <w:sz w:val="24"/>
        </w:rPr>
        <w:t>泵取水情况</w:t>
      </w:r>
      <w:r>
        <w:rPr>
          <w:rFonts w:hint="eastAsia" w:ascii="Malgun Gothic Semilight" w:hAnsi="Malgun Gothic Semilight" w:eastAsia="Malgun Gothic Semilight" w:cs="Malgun Gothic Semilight"/>
          <w:color w:val="000000"/>
          <w:kern w:val="0"/>
          <w:sz w:val="24"/>
        </w:rPr>
        <w:t>，</w:t>
      </w:r>
      <w:r>
        <w:rPr>
          <w:rFonts w:hint="eastAsia" w:ascii="宋体" w:hAnsi="宋体" w:cs="宋体"/>
          <w:color w:val="000000"/>
          <w:kern w:val="0"/>
          <w:sz w:val="24"/>
        </w:rPr>
        <w:t>检查内部管路是否通畅</w:t>
      </w:r>
      <w:r>
        <w:rPr>
          <w:rFonts w:hint="eastAsia" w:ascii="Malgun Gothic Semilight" w:hAnsi="Malgun Gothic Semilight" w:eastAsia="Malgun Gothic Semilight" w:cs="Malgun Gothic Semilight"/>
          <w:color w:val="000000"/>
          <w:kern w:val="0"/>
          <w:sz w:val="24"/>
        </w:rPr>
        <w:t>，</w:t>
      </w:r>
      <w:r>
        <w:rPr>
          <w:rFonts w:hint="eastAsia" w:ascii="宋体" w:hAnsi="宋体" w:cs="宋体"/>
          <w:color w:val="000000"/>
          <w:kern w:val="0"/>
          <w:sz w:val="24"/>
        </w:rPr>
        <w:t>仪器自动清洗装置是否运行正常</w:t>
      </w:r>
      <w:r>
        <w:rPr>
          <w:rFonts w:hint="eastAsia" w:ascii="Malgun Gothic Semilight" w:hAnsi="Malgun Gothic Semilight" w:eastAsia="Malgun Gothic Semilight" w:cs="Malgun Gothic Semilight"/>
          <w:color w:val="000000"/>
          <w:kern w:val="0"/>
          <w:sz w:val="24"/>
        </w:rPr>
        <w:t>，</w:t>
      </w:r>
      <w:r>
        <w:rPr>
          <w:rFonts w:hint="eastAsia" w:ascii="宋体" w:hAnsi="宋体" w:cs="宋体"/>
          <w:color w:val="000000"/>
          <w:kern w:val="0"/>
          <w:sz w:val="24"/>
        </w:rPr>
        <w:t>检查各自动分析仪的进样水管和排水管是否清洁</w:t>
      </w:r>
      <w:r>
        <w:rPr>
          <w:rFonts w:hint="eastAsia" w:ascii="Malgun Gothic Semilight" w:hAnsi="Malgun Gothic Semilight" w:eastAsia="Malgun Gothic Semilight" w:cs="Malgun Gothic Semilight"/>
          <w:color w:val="000000"/>
          <w:kern w:val="0"/>
          <w:sz w:val="24"/>
        </w:rPr>
        <w:t>，</w:t>
      </w:r>
      <w:r>
        <w:rPr>
          <w:rFonts w:hint="eastAsia" w:ascii="宋体" w:hAnsi="宋体" w:cs="宋体"/>
          <w:color w:val="000000"/>
          <w:kern w:val="0"/>
          <w:sz w:val="24"/>
        </w:rPr>
        <w:t>每周进行清洗</w:t>
      </w:r>
      <w:r>
        <w:rPr>
          <w:rFonts w:hint="eastAsia" w:ascii="Malgun Gothic Semilight" w:hAnsi="Malgun Gothic Semilight" w:eastAsia="Malgun Gothic Semilight" w:cs="Malgun Gothic Semilight"/>
          <w:color w:val="000000"/>
          <w:kern w:val="0"/>
          <w:sz w:val="24"/>
        </w:rPr>
        <w:t>。</w:t>
      </w:r>
      <w:r>
        <w:rPr>
          <w:rFonts w:hint="eastAsia" w:ascii="宋体" w:hAnsi="宋体" w:cs="宋体"/>
          <w:color w:val="000000"/>
          <w:kern w:val="0"/>
          <w:sz w:val="24"/>
        </w:rPr>
        <w:t>每周清洗水泵和过滤装置</w:t>
      </w:r>
      <w:r>
        <w:rPr>
          <w:rFonts w:hint="eastAsia" w:ascii="Malgun Gothic Semilight" w:hAnsi="Malgun Gothic Semilight" w:eastAsia="Malgun Gothic Semilight" w:cs="Malgun Gothic Semilight"/>
          <w:color w:val="000000"/>
          <w:kern w:val="0"/>
          <w:sz w:val="24"/>
        </w:rPr>
        <w:t>。</w:t>
      </w:r>
    </w:p>
    <w:p>
      <w:pPr>
        <w:autoSpaceDE w:val="0"/>
        <w:autoSpaceDN w:val="0"/>
        <w:adjustRightInd w:val="0"/>
        <w:jc w:val="left"/>
        <w:rPr>
          <w:rFonts w:ascii="Times" w:hAnsi="Times" w:eastAsia="Songti SC" w:cs="Times"/>
          <w:color w:val="000000"/>
          <w:kern w:val="0"/>
          <w:sz w:val="24"/>
        </w:rPr>
      </w:pPr>
      <w:r>
        <w:rPr>
          <w:rFonts w:hint="eastAsia" w:ascii="Times" w:hAnsi="Times" w:eastAsia="Songti SC" w:cs="Times"/>
          <w:color w:val="000000"/>
          <w:kern w:val="0"/>
          <w:sz w:val="24"/>
        </w:rPr>
        <w:t>3、</w:t>
      </w:r>
      <w:r>
        <w:rPr>
          <w:rFonts w:hint="eastAsia" w:ascii="宋体" w:hAnsi="宋体" w:cs="宋体"/>
          <w:color w:val="000000"/>
          <w:kern w:val="0"/>
          <w:sz w:val="24"/>
        </w:rPr>
        <w:t>检查站房内电路系统</w:t>
      </w:r>
      <w:r>
        <w:rPr>
          <w:rFonts w:hint="eastAsia" w:ascii="Malgun Gothic Semilight" w:hAnsi="Malgun Gothic Semilight" w:eastAsia="Malgun Gothic Semilight" w:cs="Malgun Gothic Semilight"/>
          <w:color w:val="000000"/>
          <w:kern w:val="0"/>
          <w:sz w:val="24"/>
        </w:rPr>
        <w:t>、</w:t>
      </w:r>
      <w:r>
        <w:rPr>
          <w:rFonts w:hint="eastAsia" w:ascii="宋体" w:hAnsi="宋体" w:cs="宋体"/>
          <w:color w:val="000000"/>
          <w:kern w:val="0"/>
          <w:sz w:val="24"/>
        </w:rPr>
        <w:t>通讯系统</w:t>
      </w:r>
      <w:r>
        <w:rPr>
          <w:rFonts w:hint="eastAsia" w:ascii="Malgun Gothic Semilight" w:hAnsi="Malgun Gothic Semilight" w:eastAsia="Malgun Gothic Semilight" w:cs="Malgun Gothic Semilight"/>
          <w:color w:val="000000"/>
          <w:kern w:val="0"/>
          <w:sz w:val="24"/>
        </w:rPr>
        <w:t>，</w:t>
      </w:r>
      <w:r>
        <w:rPr>
          <w:rFonts w:hint="eastAsia" w:ascii="宋体" w:hAnsi="宋体" w:cs="宋体"/>
          <w:color w:val="000000"/>
          <w:kern w:val="0"/>
          <w:sz w:val="24"/>
        </w:rPr>
        <w:t>保证运行正常</w:t>
      </w:r>
      <w:r>
        <w:rPr>
          <w:rFonts w:hint="eastAsia" w:ascii="Malgun Gothic Semilight" w:hAnsi="Malgun Gothic Semilight" w:eastAsia="Malgun Gothic Semilight" w:cs="Malgun Gothic Semilight"/>
          <w:color w:val="000000"/>
          <w:kern w:val="0"/>
          <w:sz w:val="24"/>
        </w:rPr>
        <w:t>。</w:t>
      </w:r>
    </w:p>
    <w:p>
      <w:pPr>
        <w:autoSpaceDE w:val="0"/>
        <w:autoSpaceDN w:val="0"/>
        <w:adjustRightInd w:val="0"/>
        <w:jc w:val="left"/>
        <w:rPr>
          <w:rFonts w:ascii="Times" w:hAnsi="Times" w:eastAsia="Songti SC" w:cs="Times"/>
          <w:color w:val="000000"/>
          <w:kern w:val="0"/>
          <w:sz w:val="24"/>
        </w:rPr>
      </w:pPr>
      <w:r>
        <w:rPr>
          <w:rFonts w:hint="eastAsia" w:ascii="Times" w:hAnsi="Times" w:eastAsia="Songti SC" w:cs="Times"/>
          <w:color w:val="000000"/>
          <w:kern w:val="0"/>
          <w:sz w:val="24"/>
        </w:rPr>
        <w:t>4、</w:t>
      </w:r>
      <w:r>
        <w:rPr>
          <w:rFonts w:hint="eastAsia" w:ascii="宋体" w:hAnsi="宋体" w:cs="宋体"/>
          <w:color w:val="000000"/>
          <w:kern w:val="0"/>
          <w:sz w:val="24"/>
        </w:rPr>
        <w:t>对于用电极法测量的仪器</w:t>
      </w:r>
      <w:r>
        <w:rPr>
          <w:rFonts w:hint="eastAsia" w:ascii="Malgun Gothic Semilight" w:hAnsi="Malgun Gothic Semilight" w:eastAsia="Malgun Gothic Semilight" w:cs="Malgun Gothic Semilight"/>
          <w:color w:val="000000"/>
          <w:kern w:val="0"/>
          <w:sz w:val="24"/>
        </w:rPr>
        <w:t>，</w:t>
      </w:r>
      <w:r>
        <w:rPr>
          <w:rFonts w:hint="eastAsia" w:ascii="宋体" w:hAnsi="宋体" w:cs="宋体"/>
          <w:color w:val="000000"/>
          <w:kern w:val="0"/>
          <w:sz w:val="24"/>
        </w:rPr>
        <w:t>检查标准溶液和电极填充液</w:t>
      </w:r>
      <w:r>
        <w:rPr>
          <w:rFonts w:hint="eastAsia" w:ascii="Malgun Gothic Semilight" w:hAnsi="Malgun Gothic Semilight" w:eastAsia="Malgun Gothic Semilight" w:cs="Malgun Gothic Semilight"/>
          <w:color w:val="000000"/>
          <w:kern w:val="0"/>
          <w:sz w:val="24"/>
        </w:rPr>
        <w:t>，</w:t>
      </w:r>
      <w:r>
        <w:rPr>
          <w:rFonts w:hint="eastAsia" w:ascii="宋体" w:hAnsi="宋体" w:cs="宋体"/>
          <w:color w:val="000000"/>
          <w:kern w:val="0"/>
          <w:sz w:val="24"/>
        </w:rPr>
        <w:t>进行电极探头的清洗</w:t>
      </w:r>
      <w:r>
        <w:rPr>
          <w:rFonts w:hint="eastAsia" w:ascii="Malgun Gothic Semilight" w:hAnsi="Malgun Gothic Semilight" w:eastAsia="Malgun Gothic Semilight" w:cs="Malgun Gothic Semilight"/>
          <w:color w:val="000000"/>
          <w:kern w:val="0"/>
          <w:sz w:val="24"/>
        </w:rPr>
        <w:t>。</w:t>
      </w:r>
    </w:p>
    <w:p>
      <w:pPr>
        <w:autoSpaceDE w:val="0"/>
        <w:autoSpaceDN w:val="0"/>
        <w:adjustRightInd w:val="0"/>
        <w:jc w:val="left"/>
        <w:rPr>
          <w:rFonts w:ascii="Times" w:hAnsi="Times" w:eastAsia="Songti SC" w:cs="Times"/>
          <w:color w:val="000000"/>
          <w:kern w:val="0"/>
          <w:sz w:val="24"/>
        </w:rPr>
      </w:pPr>
      <w:r>
        <w:rPr>
          <w:rFonts w:hint="eastAsia" w:ascii="Times" w:hAnsi="Times" w:eastAsia="Songti SC" w:cs="Times"/>
          <w:color w:val="000000"/>
          <w:kern w:val="0"/>
          <w:sz w:val="24"/>
        </w:rPr>
        <w:t>5、</w:t>
      </w:r>
      <w:r>
        <w:rPr>
          <w:rFonts w:hint="eastAsia" w:ascii="宋体" w:hAnsi="宋体" w:cs="宋体"/>
          <w:color w:val="000000"/>
          <w:kern w:val="0"/>
          <w:sz w:val="24"/>
        </w:rPr>
        <w:t>检查各仪器标准溶液和试剂是否在有效使用期内</w:t>
      </w:r>
      <w:r>
        <w:rPr>
          <w:rFonts w:hint="eastAsia" w:ascii="Malgun Gothic Semilight" w:hAnsi="Malgun Gothic Semilight" w:eastAsia="Malgun Gothic Semilight" w:cs="Malgun Gothic Semilight"/>
          <w:color w:val="000000"/>
          <w:kern w:val="0"/>
          <w:sz w:val="24"/>
        </w:rPr>
        <w:t>，</w:t>
      </w:r>
      <w:r>
        <w:rPr>
          <w:rFonts w:hint="eastAsia" w:ascii="宋体" w:hAnsi="宋体" w:cs="宋体"/>
          <w:color w:val="000000"/>
          <w:kern w:val="0"/>
          <w:sz w:val="24"/>
        </w:rPr>
        <w:t>按相关要求定期更换标准溶液和分析试剂</w:t>
      </w:r>
      <w:r>
        <w:rPr>
          <w:rFonts w:hint="eastAsia" w:ascii="Malgun Gothic Semilight" w:hAnsi="Malgun Gothic Semilight" w:eastAsia="Malgun Gothic Semilight" w:cs="Malgun Gothic Semilight"/>
          <w:color w:val="000000"/>
          <w:kern w:val="0"/>
          <w:sz w:val="24"/>
        </w:rPr>
        <w:t>。</w:t>
      </w:r>
    </w:p>
    <w:p>
      <w:pPr>
        <w:autoSpaceDE w:val="0"/>
        <w:autoSpaceDN w:val="0"/>
        <w:adjustRightInd w:val="0"/>
        <w:jc w:val="left"/>
        <w:rPr>
          <w:rFonts w:ascii="Times" w:hAnsi="Times" w:eastAsia="Songti SC" w:cs="Times"/>
          <w:color w:val="000000"/>
          <w:kern w:val="0"/>
          <w:sz w:val="24"/>
        </w:rPr>
      </w:pPr>
      <w:r>
        <w:rPr>
          <w:rFonts w:hint="eastAsia" w:ascii="Times" w:hAnsi="Times" w:eastAsia="Songti SC" w:cs="Times"/>
          <w:color w:val="000000"/>
          <w:kern w:val="0"/>
          <w:sz w:val="24"/>
        </w:rPr>
        <w:t>6、</w:t>
      </w:r>
      <w:r>
        <w:rPr>
          <w:rFonts w:hint="eastAsia" w:ascii="宋体" w:hAnsi="宋体" w:cs="宋体"/>
          <w:color w:val="000000"/>
          <w:kern w:val="0"/>
          <w:sz w:val="24"/>
        </w:rPr>
        <w:t>观察数据采集传输仪运行情况</w:t>
      </w:r>
      <w:r>
        <w:rPr>
          <w:rFonts w:hint="eastAsia" w:ascii="Malgun Gothic Semilight" w:hAnsi="Malgun Gothic Semilight" w:eastAsia="Malgun Gothic Semilight" w:cs="Malgun Gothic Semilight"/>
          <w:color w:val="000000"/>
          <w:kern w:val="0"/>
          <w:sz w:val="24"/>
        </w:rPr>
        <w:t>，</w:t>
      </w:r>
      <w:r>
        <w:rPr>
          <w:rFonts w:hint="eastAsia" w:ascii="宋体" w:hAnsi="宋体" w:cs="宋体"/>
          <w:color w:val="000000"/>
          <w:kern w:val="0"/>
          <w:sz w:val="24"/>
        </w:rPr>
        <w:t>并检查连接处有无损坏</w:t>
      </w:r>
      <w:r>
        <w:rPr>
          <w:rFonts w:hint="eastAsia" w:ascii="Times" w:hAnsi="Times" w:eastAsia="Songti SC" w:cs="Times"/>
          <w:color w:val="000000"/>
          <w:kern w:val="0"/>
          <w:sz w:val="24"/>
        </w:rPr>
        <w:t>,</w:t>
      </w:r>
      <w:r>
        <w:rPr>
          <w:rFonts w:hint="eastAsia" w:ascii="宋体" w:hAnsi="宋体" w:cs="宋体"/>
          <w:color w:val="000000"/>
          <w:kern w:val="0"/>
          <w:sz w:val="24"/>
        </w:rPr>
        <w:t>对数据进行抽样检查</w:t>
      </w:r>
      <w:r>
        <w:rPr>
          <w:rFonts w:hint="eastAsia" w:ascii="Malgun Gothic Semilight" w:hAnsi="Malgun Gothic Semilight" w:eastAsia="Malgun Gothic Semilight" w:cs="Malgun Gothic Semilight"/>
          <w:color w:val="000000"/>
          <w:kern w:val="0"/>
          <w:sz w:val="24"/>
        </w:rPr>
        <w:t>，</w:t>
      </w:r>
      <w:r>
        <w:rPr>
          <w:rFonts w:hint="eastAsia" w:ascii="宋体" w:hAnsi="宋体" w:cs="宋体"/>
          <w:color w:val="000000"/>
          <w:kern w:val="0"/>
          <w:sz w:val="24"/>
        </w:rPr>
        <w:t>保证自动分析仪</w:t>
      </w:r>
      <w:r>
        <w:rPr>
          <w:rFonts w:hint="eastAsia" w:ascii="Malgun Gothic Semilight" w:hAnsi="Malgun Gothic Semilight" w:eastAsia="Malgun Gothic Semilight" w:cs="Malgun Gothic Semilight"/>
          <w:color w:val="000000"/>
          <w:kern w:val="0"/>
          <w:sz w:val="24"/>
        </w:rPr>
        <w:t>、</w:t>
      </w:r>
      <w:r>
        <w:rPr>
          <w:rFonts w:hint="eastAsia" w:ascii="宋体" w:hAnsi="宋体" w:cs="宋体"/>
          <w:color w:val="000000"/>
          <w:kern w:val="0"/>
          <w:sz w:val="24"/>
        </w:rPr>
        <w:t>数据采集传输仪及上位机接收到的数据一致</w:t>
      </w:r>
      <w:r>
        <w:rPr>
          <w:rFonts w:hint="eastAsia" w:ascii="Malgun Gothic Semilight" w:hAnsi="Malgun Gothic Semilight" w:eastAsia="Malgun Gothic Semilight" w:cs="Malgun Gothic Semilight"/>
          <w:color w:val="000000"/>
          <w:kern w:val="0"/>
          <w:sz w:val="24"/>
        </w:rPr>
        <w:t>。</w:t>
      </w:r>
    </w:p>
    <w:p>
      <w:pPr>
        <w:numPr>
          <w:ilvl w:val="0"/>
          <w:numId w:val="5"/>
        </w:numPr>
        <w:autoSpaceDE w:val="0"/>
        <w:autoSpaceDN w:val="0"/>
        <w:adjustRightInd w:val="0"/>
        <w:ind w:firstLine="480" w:firstLineChars="200"/>
        <w:jc w:val="left"/>
        <w:rPr>
          <w:rFonts w:ascii="Times" w:hAnsi="Times" w:eastAsia="Songti SC" w:cs="Times"/>
          <w:color w:val="000000"/>
          <w:kern w:val="0"/>
          <w:sz w:val="24"/>
        </w:rPr>
      </w:pPr>
      <w:r>
        <w:rPr>
          <w:rFonts w:hint="eastAsia" w:ascii="宋体" w:hAnsi="宋体" w:cs="宋体"/>
          <w:color w:val="000000"/>
          <w:kern w:val="0"/>
          <w:sz w:val="24"/>
        </w:rPr>
        <w:t>日常校验</w:t>
      </w:r>
    </w:p>
    <w:p>
      <w:pPr>
        <w:autoSpaceDE w:val="0"/>
        <w:autoSpaceDN w:val="0"/>
        <w:adjustRightInd w:val="0"/>
        <w:ind w:firstLine="480" w:firstLineChars="200"/>
        <w:jc w:val="left"/>
        <w:rPr>
          <w:rFonts w:ascii="Times" w:hAnsi="Times" w:eastAsia="Songti SC" w:cs="Times"/>
          <w:color w:val="000000"/>
          <w:kern w:val="0"/>
          <w:sz w:val="24"/>
        </w:rPr>
      </w:pPr>
      <w:r>
        <w:rPr>
          <w:rFonts w:hint="eastAsia" w:ascii="宋体" w:hAnsi="宋体" w:cs="宋体"/>
          <w:color w:val="000000"/>
          <w:kern w:val="0"/>
          <w:sz w:val="24"/>
        </w:rPr>
        <w:t>每月进行重复性</w:t>
      </w:r>
      <w:r>
        <w:rPr>
          <w:rFonts w:hint="eastAsia" w:ascii="Malgun Gothic Semilight" w:hAnsi="Malgun Gothic Semilight" w:eastAsia="Malgun Gothic Semilight" w:cs="Malgun Gothic Semilight"/>
          <w:color w:val="000000"/>
          <w:kern w:val="0"/>
          <w:sz w:val="24"/>
        </w:rPr>
        <w:t>、</w:t>
      </w:r>
      <w:r>
        <w:rPr>
          <w:rFonts w:hint="eastAsia" w:ascii="宋体" w:hAnsi="宋体" w:cs="宋体"/>
          <w:color w:val="000000"/>
          <w:kern w:val="0"/>
          <w:sz w:val="24"/>
        </w:rPr>
        <w:t>零点漂移和量程漂移试验</w:t>
      </w:r>
      <w:r>
        <w:rPr>
          <w:rFonts w:hint="eastAsia" w:ascii="Malgun Gothic Semilight" w:hAnsi="Malgun Gothic Semilight" w:eastAsia="Malgun Gothic Semilight" w:cs="Malgun Gothic Semilight"/>
          <w:color w:val="000000"/>
          <w:kern w:val="0"/>
          <w:sz w:val="24"/>
        </w:rPr>
        <w:t>，</w:t>
      </w:r>
      <w:r>
        <w:rPr>
          <w:rFonts w:hint="eastAsia" w:ascii="宋体" w:hAnsi="宋体" w:cs="宋体"/>
          <w:color w:val="000000"/>
          <w:kern w:val="0"/>
          <w:sz w:val="24"/>
        </w:rPr>
        <w:t>并至少进行一次实际水样比对试验和质控样试验</w:t>
      </w:r>
      <w:r>
        <w:rPr>
          <w:rFonts w:hint="eastAsia" w:ascii="Malgun Gothic Semilight" w:hAnsi="Malgun Gothic Semilight" w:eastAsia="Malgun Gothic Semilight" w:cs="Malgun Gothic Semilight"/>
          <w:color w:val="000000"/>
          <w:kern w:val="0"/>
          <w:sz w:val="24"/>
        </w:rPr>
        <w:t>，</w:t>
      </w:r>
      <w:r>
        <w:rPr>
          <w:rFonts w:hint="eastAsia" w:ascii="宋体" w:hAnsi="宋体" w:cs="宋体"/>
          <w:color w:val="000000"/>
          <w:kern w:val="0"/>
          <w:sz w:val="24"/>
        </w:rPr>
        <w:t>进行一次现场校验</w:t>
      </w:r>
      <w:r>
        <w:rPr>
          <w:rFonts w:hint="eastAsia" w:ascii="Malgun Gothic Semilight" w:hAnsi="Malgun Gothic Semilight" w:eastAsia="Malgun Gothic Semilight" w:cs="Malgun Gothic Semilight"/>
          <w:color w:val="000000"/>
          <w:kern w:val="0"/>
          <w:sz w:val="24"/>
        </w:rPr>
        <w:t>，</w:t>
      </w:r>
      <w:r>
        <w:rPr>
          <w:rFonts w:hint="eastAsia" w:ascii="宋体" w:hAnsi="宋体" w:cs="宋体"/>
          <w:color w:val="000000"/>
          <w:kern w:val="0"/>
          <w:sz w:val="24"/>
        </w:rPr>
        <w:t>自动校准或手工校准</w:t>
      </w:r>
      <w:r>
        <w:rPr>
          <w:rFonts w:hint="eastAsia" w:ascii="Malgun Gothic Semilight" w:hAnsi="Malgun Gothic Semilight" w:eastAsia="Malgun Gothic Semilight" w:cs="Malgun Gothic Semilight"/>
          <w:color w:val="000000"/>
          <w:kern w:val="0"/>
          <w:sz w:val="24"/>
        </w:rPr>
        <w:t>。</w:t>
      </w:r>
      <w:r>
        <w:rPr>
          <w:rFonts w:hint="eastAsia" w:ascii="宋体" w:hAnsi="宋体" w:cs="宋体"/>
          <w:color w:val="000000"/>
          <w:kern w:val="0"/>
          <w:sz w:val="24"/>
        </w:rPr>
        <w:t>实际水样比对试验结果应满足规定的性能指标要求</w:t>
      </w:r>
      <w:r>
        <w:rPr>
          <w:rFonts w:hint="eastAsia" w:ascii="Malgun Gothic Semilight" w:hAnsi="Malgun Gothic Semilight" w:eastAsia="Malgun Gothic Semilight" w:cs="Malgun Gothic Semilight"/>
          <w:color w:val="000000"/>
          <w:kern w:val="0"/>
          <w:sz w:val="24"/>
        </w:rPr>
        <w:t>，</w:t>
      </w:r>
      <w:r>
        <w:rPr>
          <w:rFonts w:hint="eastAsia" w:ascii="宋体" w:hAnsi="宋体" w:cs="宋体"/>
          <w:color w:val="000000"/>
          <w:kern w:val="0"/>
          <w:sz w:val="24"/>
        </w:rPr>
        <w:t>质控样测定的相对误差不大于标准值的</w:t>
      </w:r>
      <w:r>
        <w:rPr>
          <w:rFonts w:hint="eastAsia" w:ascii="Malgun Gothic Semilight" w:hAnsi="Malgun Gothic Semilight" w:eastAsia="Malgun Gothic Semilight" w:cs="Malgun Gothic Semilight"/>
          <w:color w:val="000000"/>
          <w:kern w:val="0"/>
          <w:sz w:val="24"/>
        </w:rPr>
        <w:t>±</w:t>
      </w:r>
      <w:r>
        <w:rPr>
          <w:rFonts w:hint="eastAsia" w:ascii="Times" w:hAnsi="Times" w:eastAsia="Songti SC" w:cs="Times"/>
          <w:color w:val="000000"/>
          <w:kern w:val="0"/>
          <w:sz w:val="24"/>
        </w:rPr>
        <w:t>10%，</w:t>
      </w:r>
      <w:r>
        <w:rPr>
          <w:rFonts w:hint="eastAsia" w:ascii="宋体" w:hAnsi="宋体" w:cs="宋体"/>
          <w:color w:val="000000"/>
          <w:kern w:val="0"/>
          <w:sz w:val="24"/>
        </w:rPr>
        <w:t>实际水样比对试验或校验的结果不满足规定的性能指标要求时</w:t>
      </w:r>
      <w:r>
        <w:rPr>
          <w:rFonts w:hint="eastAsia" w:ascii="Malgun Gothic Semilight" w:hAnsi="Malgun Gothic Semilight" w:eastAsia="Malgun Gothic Semilight" w:cs="Malgun Gothic Semilight"/>
          <w:color w:val="000000"/>
          <w:kern w:val="0"/>
          <w:sz w:val="24"/>
        </w:rPr>
        <w:t>，</w:t>
      </w:r>
      <w:r>
        <w:rPr>
          <w:rFonts w:hint="eastAsia" w:ascii="宋体" w:hAnsi="宋体" w:cs="宋体"/>
          <w:color w:val="000000"/>
          <w:kern w:val="0"/>
          <w:sz w:val="24"/>
        </w:rPr>
        <w:t>应立即重新进行第</w:t>
      </w:r>
      <w:r>
        <w:rPr>
          <w:rFonts w:hint="eastAsia" w:ascii="Times" w:hAnsi="Times" w:eastAsia="Songti SC" w:cs="Times"/>
          <w:color w:val="000000"/>
          <w:kern w:val="0"/>
          <w:sz w:val="24"/>
        </w:rPr>
        <w:t>2</w:t>
      </w:r>
      <w:r>
        <w:rPr>
          <w:rFonts w:hint="eastAsia" w:ascii="宋体" w:hAnsi="宋体" w:cs="宋体"/>
          <w:color w:val="000000"/>
          <w:kern w:val="0"/>
          <w:sz w:val="24"/>
        </w:rPr>
        <w:t>次比对试验或校验</w:t>
      </w:r>
      <w:r>
        <w:rPr>
          <w:rFonts w:hint="eastAsia" w:ascii="Malgun Gothic Semilight" w:hAnsi="Malgun Gothic Semilight" w:eastAsia="Malgun Gothic Semilight" w:cs="Malgun Gothic Semilight"/>
          <w:color w:val="000000"/>
          <w:kern w:val="0"/>
          <w:sz w:val="24"/>
        </w:rPr>
        <w:t>，</w:t>
      </w:r>
      <w:r>
        <w:rPr>
          <w:rFonts w:hint="eastAsia" w:ascii="宋体" w:hAnsi="宋体" w:cs="宋体"/>
          <w:color w:val="000000"/>
          <w:kern w:val="0"/>
          <w:sz w:val="24"/>
        </w:rPr>
        <w:t>连续三次结果不符合要求</w:t>
      </w:r>
      <w:r>
        <w:rPr>
          <w:rFonts w:hint="eastAsia" w:ascii="Malgun Gothic Semilight" w:hAnsi="Malgun Gothic Semilight" w:eastAsia="Malgun Gothic Semilight" w:cs="Malgun Gothic Semilight"/>
          <w:color w:val="000000"/>
          <w:kern w:val="0"/>
          <w:sz w:val="24"/>
        </w:rPr>
        <w:t>，</w:t>
      </w:r>
      <w:r>
        <w:rPr>
          <w:rFonts w:hint="eastAsia" w:ascii="宋体" w:hAnsi="宋体" w:cs="宋体"/>
          <w:color w:val="000000"/>
          <w:kern w:val="0"/>
          <w:sz w:val="24"/>
        </w:rPr>
        <w:t>应采用备用仪器或手工方法监测</w:t>
      </w:r>
      <w:r>
        <w:rPr>
          <w:rFonts w:hint="eastAsia" w:ascii="Malgun Gothic Semilight" w:hAnsi="Malgun Gothic Semilight" w:eastAsia="Malgun Gothic Semilight" w:cs="Malgun Gothic Semilight"/>
          <w:color w:val="000000"/>
          <w:kern w:val="0"/>
          <w:sz w:val="24"/>
        </w:rPr>
        <w:t>。</w:t>
      </w:r>
      <w:r>
        <w:rPr>
          <w:rFonts w:hint="eastAsia" w:ascii="宋体" w:hAnsi="宋体" w:cs="宋体"/>
          <w:color w:val="000000"/>
          <w:kern w:val="0"/>
          <w:sz w:val="24"/>
        </w:rPr>
        <w:t>备用仪器在正常使用和运行之前应对仪器进行校验和比对试验</w:t>
      </w:r>
      <w:r>
        <w:rPr>
          <w:rFonts w:hint="eastAsia" w:ascii="Malgun Gothic Semilight" w:hAnsi="Malgun Gothic Semilight" w:eastAsia="Malgun Gothic Semilight" w:cs="Malgun Gothic Semilight"/>
          <w:color w:val="000000"/>
          <w:kern w:val="0"/>
          <w:sz w:val="24"/>
        </w:rPr>
        <w:t>。</w:t>
      </w:r>
    </w:p>
    <w:p>
      <w:pPr>
        <w:pStyle w:val="33"/>
        <w:ind w:firstLine="0" w:firstLineChars="0"/>
        <w:rPr>
          <w:rFonts w:ascii="宋体" w:hAnsi="宋体" w:eastAsia="宋体" w:cs="宋体"/>
          <w:b/>
          <w:bCs/>
          <w:sz w:val="28"/>
          <w:szCs w:val="32"/>
          <w:lang w:val="zh-CN"/>
        </w:rPr>
      </w:pPr>
      <w:r>
        <w:rPr>
          <w:rFonts w:hint="eastAsia" w:cs="仿宋_GB2312" w:asciiTheme="minorEastAsia" w:hAnsiTheme="minorEastAsia" w:eastAsiaTheme="minorEastAsia"/>
        </w:rPr>
        <w:t>三</w:t>
      </w:r>
      <w:r>
        <w:rPr>
          <w:rFonts w:hint="eastAsia" w:ascii="宋体" w:hAnsi="宋体" w:eastAsia="宋体" w:cs="宋体"/>
          <w:b/>
          <w:bCs/>
          <w:sz w:val="28"/>
          <w:szCs w:val="32"/>
          <w:lang w:val="zh-CN"/>
        </w:rPr>
        <w:t>、管理服务要求</w:t>
      </w:r>
    </w:p>
    <w:p>
      <w:pPr>
        <w:tabs>
          <w:tab w:val="left" w:pos="0"/>
        </w:tabs>
        <w:spacing w:line="276" w:lineRule="auto"/>
        <w:rPr>
          <w:rFonts w:ascii="仿宋_GB2312" w:hAnsi="仿宋_GB2312" w:cs="仿宋_GB2312"/>
        </w:rPr>
      </w:pPr>
      <w:r>
        <w:rPr>
          <w:rFonts w:hint="eastAsia" w:ascii="仿宋_GB2312" w:hAnsi="仿宋_GB2312" w:cs="仿宋_GB2312"/>
        </w:rPr>
        <w:t>（1）建立健全工作站管理制度、运营、维修、安全技术操作规程。</w:t>
      </w:r>
    </w:p>
    <w:p>
      <w:pPr>
        <w:tabs>
          <w:tab w:val="left" w:pos="0"/>
        </w:tabs>
        <w:spacing w:line="276" w:lineRule="auto"/>
        <w:ind w:firstLine="480"/>
        <w:rPr>
          <w:rFonts w:ascii="仿宋_GB2312" w:hAnsi="仿宋_GB2312" w:cs="仿宋_GB2312"/>
        </w:rPr>
      </w:pPr>
      <w:r>
        <w:rPr>
          <w:rFonts w:hint="eastAsia" w:ascii="仿宋_GB2312" w:hAnsi="仿宋_GB2312" w:cs="仿宋_GB2312"/>
        </w:rPr>
        <w:t>2）建立切实可行的设备设施维护维修制度、应急预案、应急管理制度、安排每年不少于1次的应急工作预防演练。</w:t>
      </w:r>
    </w:p>
    <w:p>
      <w:pPr>
        <w:tabs>
          <w:tab w:val="left" w:pos="0"/>
        </w:tabs>
        <w:spacing w:line="276" w:lineRule="auto"/>
        <w:ind w:firstLine="480"/>
        <w:rPr>
          <w:rFonts w:ascii="仿宋_GB2312" w:hAnsi="仿宋_GB2312" w:cs="仿宋_GB2312"/>
        </w:rPr>
      </w:pPr>
      <w:r>
        <w:rPr>
          <w:rFonts w:hint="eastAsia" w:ascii="仿宋_GB2312" w:hAnsi="仿宋_GB2312" w:cs="仿宋_GB2312"/>
        </w:rPr>
        <w:t>（3）建立健全安全管理体系，完善并制作工作站现场的安全警示标识、设备工艺标识</w:t>
      </w:r>
    </w:p>
    <w:p>
      <w:pPr>
        <w:tabs>
          <w:tab w:val="left" w:pos="0"/>
        </w:tabs>
        <w:spacing w:line="276" w:lineRule="auto"/>
        <w:ind w:firstLine="480"/>
        <w:rPr>
          <w:rFonts w:ascii="仿宋_GB2312" w:hAnsi="仿宋_GB2312" w:cs="仿宋_GB2312"/>
        </w:rPr>
      </w:pPr>
      <w:r>
        <w:rPr>
          <w:rFonts w:hint="eastAsia" w:ascii="仿宋_GB2312" w:hAnsi="仿宋_GB2312" w:cs="仿宋_GB2312"/>
        </w:rPr>
        <w:t>（4）定期对员工进行业务培训、管理培训及知识更新。</w:t>
      </w:r>
    </w:p>
    <w:p>
      <w:pPr>
        <w:tabs>
          <w:tab w:val="left" w:pos="0"/>
        </w:tabs>
        <w:spacing w:line="276" w:lineRule="auto"/>
        <w:ind w:firstLine="480"/>
        <w:rPr>
          <w:rFonts w:ascii="仿宋_GB2312" w:hAnsi="仿宋_GB2312" w:cs="仿宋_GB2312"/>
        </w:rPr>
      </w:pPr>
      <w:r>
        <w:rPr>
          <w:rFonts w:hint="eastAsia" w:ascii="仿宋_GB2312" w:hAnsi="仿宋_GB2312" w:cs="仿宋_GB2312"/>
        </w:rPr>
        <w:t>（5）制定操作工、维修工、项目负责人常规考核办法。</w:t>
      </w:r>
    </w:p>
    <w:p>
      <w:pPr>
        <w:tabs>
          <w:tab w:val="left" w:pos="0"/>
        </w:tabs>
        <w:spacing w:line="276" w:lineRule="auto"/>
        <w:ind w:firstLine="480"/>
        <w:rPr>
          <w:rFonts w:ascii="仿宋_GB2312" w:hAnsi="仿宋_GB2312" w:cs="仿宋_GB2312"/>
        </w:rPr>
      </w:pPr>
      <w:r>
        <w:rPr>
          <w:rFonts w:hint="eastAsia" w:ascii="仿宋_GB2312" w:hAnsi="仿宋_GB2312" w:cs="仿宋_GB2312"/>
        </w:rPr>
        <w:t>（6）工作站的运行日志、监测记录、维修记录、药品购买、使用记录表等各类台帐由服务商制作、详实记录、装订并妥善保存。</w:t>
      </w:r>
    </w:p>
    <w:p>
      <w:pPr>
        <w:tabs>
          <w:tab w:val="left" w:pos="0"/>
        </w:tabs>
        <w:spacing w:line="276" w:lineRule="auto"/>
        <w:ind w:firstLine="480"/>
        <w:rPr>
          <w:rFonts w:ascii="仿宋_GB2312" w:hAnsi="仿宋_GB2312" w:cs="仿宋_GB2312"/>
        </w:rPr>
      </w:pPr>
      <w:r>
        <w:rPr>
          <w:rFonts w:hint="eastAsia" w:ascii="仿宋_GB2312" w:hAnsi="仿宋_GB2312" w:cs="仿宋_GB2312"/>
        </w:rPr>
        <w:t>（7）在运营期内，服务商随时接受各级部门的监督检查工作，按要求提供检查资料，并在规定时间内对检查中发现的问题进行整改。</w:t>
      </w:r>
    </w:p>
    <w:p>
      <w:pPr>
        <w:tabs>
          <w:tab w:val="left" w:pos="0"/>
        </w:tabs>
        <w:spacing w:line="276" w:lineRule="auto"/>
        <w:ind w:firstLine="480"/>
        <w:rPr>
          <w:rFonts w:ascii="仿宋_GB2312" w:hAnsi="仿宋_GB2312" w:cs="仿宋_GB2312"/>
        </w:rPr>
      </w:pPr>
      <w:r>
        <w:rPr>
          <w:rFonts w:hint="eastAsia" w:ascii="仿宋_GB2312" w:hAnsi="仿宋_GB2312" w:cs="仿宋_GB2312"/>
        </w:rPr>
        <w:t>（8）每年年终进行一次工作总结，以书面形式递交采购人。</w:t>
      </w:r>
    </w:p>
    <w:p>
      <w:pPr>
        <w:tabs>
          <w:tab w:val="left" w:pos="0"/>
        </w:tabs>
        <w:spacing w:line="276" w:lineRule="auto"/>
        <w:ind w:firstLine="480"/>
        <w:rPr>
          <w:rFonts w:ascii="仿宋_GB2312" w:hAnsi="仿宋_GB2312" w:cs="仿宋_GB2312"/>
        </w:rPr>
      </w:pPr>
      <w:r>
        <w:rPr>
          <w:rFonts w:hint="eastAsia" w:ascii="仿宋_GB2312" w:hAnsi="仿宋_GB2312" w:cs="仿宋_GB2312"/>
        </w:rPr>
        <w:t>（9）随时保持工作站值班室、操作间、药品库房干净整洁，每月不少于1次对周围环境进行大扫除，对有锈蚀的管道或设备进行刷漆，保持设备、墙面干净整洁。</w:t>
      </w:r>
    </w:p>
    <w:p>
      <w:pPr>
        <w:tabs>
          <w:tab w:val="left" w:pos="0"/>
        </w:tabs>
        <w:spacing w:line="276" w:lineRule="auto"/>
        <w:ind w:firstLine="480"/>
      </w:pPr>
      <w:r>
        <w:rPr>
          <w:rFonts w:hint="eastAsia" w:ascii="仿宋_GB2312" w:hAnsi="仿宋_GB2312" w:cs="仿宋_GB2312"/>
        </w:rPr>
        <w:t>（10）</w:t>
      </w:r>
      <w:r>
        <w:t>日常巡检制度及巡检内容</w:t>
      </w:r>
      <w:r>
        <w:rPr>
          <w:rFonts w:hint="eastAsia"/>
        </w:rPr>
        <w:t>、</w:t>
      </w:r>
      <w:r>
        <w:t>定期维护制度及定期维护内容</w:t>
      </w:r>
      <w:r>
        <w:rPr>
          <w:rFonts w:hint="eastAsia"/>
        </w:rPr>
        <w:t>、</w:t>
      </w:r>
      <w:r>
        <w:t>定期校验和校准制度及内容</w:t>
      </w:r>
      <w:r>
        <w:rPr>
          <w:rFonts w:hint="eastAsia"/>
        </w:rPr>
        <w:t>、</w:t>
      </w:r>
      <w:r>
        <w:t>易损、易耗品的定期检查和更换制度每日巡检情况及处理结果的记录</w:t>
      </w:r>
      <w:r>
        <w:rPr>
          <w:rFonts w:hint="eastAsia"/>
        </w:rPr>
        <w:t>。</w:t>
      </w:r>
    </w:p>
    <w:p>
      <w:pPr>
        <w:tabs>
          <w:tab w:val="left" w:pos="0"/>
        </w:tabs>
        <w:spacing w:line="276" w:lineRule="auto"/>
        <w:ind w:firstLine="480"/>
        <w:rPr>
          <w:rFonts w:ascii="Arial" w:hAnsi="Arial"/>
          <w:b/>
          <w:bCs/>
          <w:sz w:val="28"/>
          <w:szCs w:val="32"/>
          <w:highlight w:val="yellow"/>
          <w:lang w:val="zh-CN"/>
        </w:rPr>
      </w:pPr>
      <w:r>
        <w:rPr>
          <w:rFonts w:hint="eastAsia" w:ascii="仿宋_GB2312" w:hAnsi="仿宋_GB2312" w:cs="仿宋_GB2312"/>
          <w:highlight w:val="yellow"/>
        </w:rPr>
        <w:t>四</w:t>
      </w:r>
      <w:r>
        <w:rPr>
          <w:rFonts w:hint="eastAsia" w:ascii="Arial" w:hAnsi="Arial"/>
          <w:b/>
          <w:bCs/>
          <w:sz w:val="28"/>
          <w:szCs w:val="32"/>
          <w:highlight w:val="yellow"/>
          <w:lang w:val="zh-CN"/>
        </w:rPr>
        <w:t>、设备设施维修维护要求</w:t>
      </w:r>
    </w:p>
    <w:p>
      <w:pPr>
        <w:tabs>
          <w:tab w:val="left" w:pos="0"/>
        </w:tabs>
        <w:spacing w:line="276" w:lineRule="auto"/>
        <w:rPr>
          <w:rFonts w:ascii="仿宋_GB2312" w:hAnsi="仿宋_GB2312" w:cs="仿宋_GB2312"/>
          <w:highlight w:val="yellow"/>
        </w:rPr>
      </w:pPr>
      <w:r>
        <w:rPr>
          <w:rFonts w:hint="eastAsia" w:ascii="仿宋_GB2312" w:hAnsi="仿宋_GB2312" w:cs="仿宋_GB2312"/>
          <w:highlight w:val="yellow"/>
        </w:rPr>
        <w:t>（1）质保期内设施设备需要更换零部件时，由成交供应商承担费用。</w:t>
      </w:r>
    </w:p>
    <w:p>
      <w:pPr>
        <w:tabs>
          <w:tab w:val="left" w:pos="0"/>
        </w:tabs>
        <w:spacing w:line="276" w:lineRule="auto"/>
        <w:rPr>
          <w:rFonts w:ascii="仿宋_GB2312" w:hAnsi="仿宋_GB2312" w:cs="仿宋_GB2312"/>
          <w:highlight w:val="yellow"/>
        </w:rPr>
      </w:pPr>
      <w:r>
        <w:rPr>
          <w:rFonts w:hint="eastAsia" w:ascii="仿宋_GB2312" w:hAnsi="仿宋_GB2312" w:cs="仿宋_GB2312"/>
          <w:highlight w:val="yellow"/>
        </w:rPr>
        <w:t>（2）各设备仪器的标准溶液和试剂等耗材，由成交供应商提供。采购人不另外支付设备维修劳务费及设备运行耗材的费用。</w:t>
      </w:r>
    </w:p>
    <w:p>
      <w:pPr>
        <w:tabs>
          <w:tab w:val="left" w:pos="0"/>
        </w:tabs>
        <w:spacing w:line="276" w:lineRule="auto"/>
        <w:rPr>
          <w:rFonts w:ascii="仿宋_GB2312" w:hAnsi="仿宋_GB2312" w:cs="仿宋_GB2312"/>
          <w:highlight w:val="yellow"/>
        </w:rPr>
      </w:pPr>
      <w:r>
        <w:rPr>
          <w:rFonts w:hint="eastAsia" w:ascii="仿宋_GB2312" w:hAnsi="仿宋_GB2312" w:cs="仿宋_GB2312"/>
          <w:highlight w:val="yellow"/>
        </w:rPr>
        <w:t>（3）运维过程中所产生的废液，由成交供应商负责严格按环保法规妥善处置。</w:t>
      </w:r>
    </w:p>
    <w:p>
      <w:pPr>
        <w:tabs>
          <w:tab w:val="left" w:pos="0"/>
        </w:tabs>
        <w:spacing w:line="276" w:lineRule="auto"/>
        <w:rPr>
          <w:rFonts w:ascii="仿宋_GB2312" w:hAnsi="仿宋_GB2312" w:cs="仿宋_GB2312"/>
          <w:highlight w:val="yellow"/>
        </w:rPr>
      </w:pPr>
      <w:r>
        <w:rPr>
          <w:rFonts w:hint="eastAsia" w:ascii="仿宋_GB2312" w:hAnsi="仿宋_GB2312" w:cs="仿宋_GB2312"/>
          <w:highlight w:val="yellow"/>
        </w:rPr>
        <w:t>（4）为保证工作站全部设备的正常运转，保持其良好状况，服务商必须按设备管理和安全操作规程使用设备外，必须严格遵守有关维护保养制度。</w:t>
      </w:r>
    </w:p>
    <w:p>
      <w:pPr>
        <w:tabs>
          <w:tab w:val="left" w:pos="0"/>
        </w:tabs>
        <w:spacing w:line="276" w:lineRule="auto"/>
        <w:rPr>
          <w:rFonts w:ascii="仿宋_GB2312" w:hAnsi="仿宋_GB2312" w:cs="仿宋_GB2312"/>
          <w:highlight w:val="yellow"/>
        </w:rPr>
      </w:pPr>
      <w:r>
        <w:rPr>
          <w:rFonts w:hint="eastAsia" w:ascii="仿宋_GB2312" w:hAnsi="仿宋_GB2312" w:cs="仿宋_GB2312"/>
          <w:highlight w:val="yellow"/>
        </w:rPr>
        <w:t>（5）在运营托管期内，服务商应根据确定的维护和大修计划，对项目设施定期进行例行大修。</w:t>
      </w:r>
    </w:p>
    <w:p>
      <w:pPr>
        <w:widowControl/>
        <w:tabs>
          <w:tab w:val="left" w:pos="0"/>
        </w:tabs>
        <w:spacing w:line="276" w:lineRule="auto"/>
        <w:jc w:val="left"/>
        <w:rPr>
          <w:rFonts w:ascii="Arial" w:hAnsi="Arial"/>
          <w:b/>
          <w:bCs/>
          <w:sz w:val="28"/>
          <w:szCs w:val="32"/>
          <w:lang w:val="zh-CN"/>
        </w:rPr>
      </w:pPr>
      <w:r>
        <w:rPr>
          <w:rFonts w:hint="eastAsia" w:ascii="Arial" w:hAnsi="Arial"/>
          <w:b/>
          <w:bCs/>
          <w:sz w:val="28"/>
          <w:szCs w:val="32"/>
          <w:lang w:val="zh-CN"/>
        </w:rPr>
        <w:t>五、现场人员基本配置要求</w:t>
      </w:r>
    </w:p>
    <w:p>
      <w:pPr>
        <w:widowControl/>
        <w:tabs>
          <w:tab w:val="left" w:pos="0"/>
        </w:tabs>
        <w:spacing w:line="276" w:lineRule="auto"/>
        <w:ind w:firstLine="482" w:firstLineChars="200"/>
        <w:jc w:val="left"/>
        <w:rPr>
          <w:rFonts w:ascii="仿宋_GB2312" w:hAnsi="仿宋_GB2312" w:cs="仿宋_GB2312"/>
          <w:kern w:val="0"/>
          <w:szCs w:val="21"/>
          <w:lang w:bidi="ar"/>
        </w:rPr>
      </w:pPr>
      <w:r>
        <w:rPr>
          <w:rFonts w:hint="eastAsia" w:ascii="宋体" w:hAnsi="宋体"/>
          <w:b/>
          <w:sz w:val="24"/>
        </w:rPr>
        <w:t>1、自动监测操作工</w:t>
      </w:r>
    </w:p>
    <w:p>
      <w:pPr>
        <w:tabs>
          <w:tab w:val="left" w:pos="0"/>
        </w:tabs>
        <w:spacing w:line="276" w:lineRule="auto"/>
        <w:ind w:firstLine="480"/>
        <w:rPr>
          <w:rFonts w:ascii="仿宋_GB2312" w:hAnsi="仿宋_GB2312" w:cs="仿宋_GB2312"/>
          <w:kern w:val="0"/>
          <w:szCs w:val="21"/>
          <w:lang w:bidi="ar"/>
        </w:rPr>
      </w:pPr>
      <w:r>
        <w:rPr>
          <w:rFonts w:hint="eastAsia" w:ascii="仿宋_GB2312" w:hAnsi="仿宋_GB2312" w:cs="仿宋_GB2312"/>
          <w:kern w:val="0"/>
          <w:szCs w:val="21"/>
          <w:lang w:bidi="ar"/>
        </w:rPr>
        <w:t>（1）操作人员必须持证上岗《污水治理设施运行技能培训证书证》）；负责污水自动监测站的日常运行工作。负责巡检巡查；设备设施的巡检、维修、维护；</w:t>
      </w:r>
    </w:p>
    <w:p>
      <w:pPr>
        <w:tabs>
          <w:tab w:val="left" w:pos="0"/>
        </w:tabs>
        <w:spacing w:line="276" w:lineRule="auto"/>
        <w:ind w:firstLine="480"/>
        <w:rPr>
          <w:rFonts w:ascii="仿宋_GB2312" w:hAnsi="仿宋_GB2312" w:cs="仿宋_GB2312"/>
          <w:kern w:val="0"/>
          <w:szCs w:val="21"/>
          <w:lang w:bidi="ar"/>
        </w:rPr>
      </w:pPr>
      <w:r>
        <w:rPr>
          <w:rFonts w:hint="eastAsia" w:ascii="仿宋_GB2312" w:hAnsi="仿宋_GB2312" w:cs="仿宋_GB2312"/>
          <w:kern w:val="0"/>
          <w:szCs w:val="21"/>
          <w:lang w:bidi="ar"/>
        </w:rPr>
        <w:t>（2）必须全面了解业主污水自动监测处理工艺，熟悉国家环保相关法律法规、行业规定及流程。</w:t>
      </w:r>
    </w:p>
    <w:p>
      <w:pPr>
        <w:tabs>
          <w:tab w:val="left" w:pos="0"/>
        </w:tabs>
        <w:spacing w:line="276" w:lineRule="auto"/>
        <w:ind w:firstLine="480"/>
        <w:rPr>
          <w:rFonts w:ascii="仿宋_GB2312" w:hAnsi="仿宋_GB2312" w:cs="仿宋_GB2312"/>
          <w:kern w:val="0"/>
          <w:szCs w:val="21"/>
          <w:lang w:bidi="ar"/>
        </w:rPr>
      </w:pPr>
      <w:r>
        <w:rPr>
          <w:rFonts w:hint="eastAsia" w:ascii="仿宋_GB2312" w:hAnsi="仿宋_GB2312" w:cs="仿宋_GB2312"/>
          <w:kern w:val="0"/>
          <w:szCs w:val="21"/>
          <w:lang w:bidi="ar"/>
        </w:rPr>
        <w:t>（4）熟悉了解现场设备操作规程及维护保养方法。负责每日运营现场及周边环境的清洁；</w:t>
      </w:r>
    </w:p>
    <w:p>
      <w:pPr>
        <w:tabs>
          <w:tab w:val="left" w:pos="0"/>
        </w:tabs>
        <w:spacing w:line="276" w:lineRule="auto"/>
        <w:ind w:firstLine="480"/>
        <w:rPr>
          <w:rFonts w:ascii="仿宋_GB2312" w:hAnsi="仿宋_GB2312" w:cs="仿宋_GB2312"/>
          <w:kern w:val="0"/>
          <w:szCs w:val="21"/>
          <w:lang w:bidi="ar"/>
        </w:rPr>
      </w:pPr>
      <w:r>
        <w:rPr>
          <w:rFonts w:hint="eastAsia" w:ascii="仿宋_GB2312" w:hAnsi="仿宋_GB2312" w:cs="仿宋_GB2312"/>
          <w:kern w:val="0"/>
          <w:szCs w:val="21"/>
          <w:lang w:bidi="ar"/>
        </w:rPr>
        <w:t>（5）清楚熟悉每日工作内容。根据工作完成情况按要求做好记录。负责每日外排污水达标排放。</w:t>
      </w:r>
    </w:p>
    <w:p>
      <w:pPr>
        <w:tabs>
          <w:tab w:val="left" w:pos="0"/>
        </w:tabs>
        <w:spacing w:line="276" w:lineRule="auto"/>
        <w:ind w:firstLine="480"/>
        <w:rPr>
          <w:rFonts w:ascii="宋体" w:hAnsi="宋体"/>
          <w:b/>
          <w:sz w:val="24"/>
        </w:rPr>
      </w:pPr>
      <w:r>
        <w:rPr>
          <w:rFonts w:hint="eastAsia" w:ascii="宋体" w:hAnsi="宋体"/>
          <w:b/>
          <w:sz w:val="24"/>
        </w:rPr>
        <w:t>2、</w:t>
      </w:r>
      <w:r>
        <w:rPr>
          <w:rFonts w:ascii="宋体" w:hAnsi="宋体"/>
          <w:b/>
          <w:sz w:val="24"/>
        </w:rPr>
        <w:t>现场委派项目</w:t>
      </w:r>
      <w:r>
        <w:rPr>
          <w:rFonts w:hint="eastAsia" w:ascii="宋体" w:hAnsi="宋体"/>
          <w:b/>
          <w:sz w:val="24"/>
        </w:rPr>
        <w:t>技术负责人</w:t>
      </w:r>
    </w:p>
    <w:p>
      <w:pPr>
        <w:pStyle w:val="50"/>
        <w:widowControl/>
        <w:shd w:val="clear" w:color="auto" w:fill="FFFFFF"/>
        <w:spacing w:beforeAutospacing="0" w:afterAutospacing="0" w:line="450" w:lineRule="atLeast"/>
        <w:ind w:firstLine="420" w:firstLineChars="200"/>
        <w:rPr>
          <w:rFonts w:ascii="仿宋_GB2312" w:hAnsi="仿宋_GB2312" w:cs="仿宋_GB2312"/>
          <w:sz w:val="21"/>
          <w:szCs w:val="21"/>
          <w:lang w:bidi="ar"/>
        </w:rPr>
      </w:pPr>
      <w:r>
        <w:rPr>
          <w:rFonts w:ascii="仿宋_GB2312" w:hAnsi="仿宋_GB2312" w:cs="仿宋_GB2312"/>
          <w:sz w:val="21"/>
          <w:szCs w:val="21"/>
          <w:lang w:bidi="ar"/>
        </w:rPr>
        <w:t>1）负责主持运营维护全面工作，制定、实施本项目工作计划；</w:t>
      </w:r>
    </w:p>
    <w:p>
      <w:pPr>
        <w:pStyle w:val="50"/>
        <w:widowControl/>
        <w:shd w:val="clear" w:color="auto" w:fill="FFFFFF"/>
        <w:spacing w:beforeAutospacing="0" w:afterAutospacing="0" w:line="450" w:lineRule="atLeast"/>
        <w:ind w:firstLine="420" w:firstLineChars="200"/>
        <w:rPr>
          <w:rFonts w:ascii="仿宋_GB2312" w:hAnsi="仿宋_GB2312" w:cs="仿宋_GB2312"/>
          <w:sz w:val="21"/>
          <w:szCs w:val="21"/>
          <w:lang w:bidi="ar"/>
        </w:rPr>
      </w:pPr>
      <w:r>
        <w:rPr>
          <w:rFonts w:ascii="仿宋_GB2312" w:hAnsi="仿宋_GB2312" w:cs="仿宋_GB2312"/>
          <w:sz w:val="21"/>
          <w:szCs w:val="21"/>
          <w:lang w:bidi="ar"/>
        </w:rPr>
        <w:t>2）负责本项目人员管理、技能培训安排；</w:t>
      </w:r>
    </w:p>
    <w:p>
      <w:pPr>
        <w:pStyle w:val="50"/>
        <w:widowControl/>
        <w:shd w:val="clear" w:color="auto" w:fill="FFFFFF"/>
        <w:spacing w:beforeAutospacing="0" w:afterAutospacing="0" w:line="450" w:lineRule="atLeast"/>
        <w:ind w:firstLine="420" w:firstLineChars="200"/>
        <w:rPr>
          <w:rFonts w:ascii="仿宋_GB2312" w:hAnsi="仿宋_GB2312" w:cs="仿宋_GB2312"/>
          <w:sz w:val="21"/>
          <w:szCs w:val="21"/>
          <w:lang w:bidi="ar"/>
        </w:rPr>
      </w:pPr>
      <w:r>
        <w:rPr>
          <w:rFonts w:ascii="仿宋_GB2312" w:hAnsi="仿宋_GB2312" w:cs="仿宋_GB2312"/>
          <w:sz w:val="21"/>
          <w:szCs w:val="21"/>
          <w:lang w:bidi="ar"/>
        </w:rPr>
        <w:t>3）负责按照重庆市</w:t>
      </w:r>
      <w:r>
        <w:rPr>
          <w:rFonts w:hint="eastAsia" w:ascii="仿宋_GB2312" w:hAnsi="仿宋_GB2312" w:cs="仿宋_GB2312"/>
          <w:sz w:val="21"/>
          <w:szCs w:val="21"/>
          <w:lang w:bidi="ar"/>
        </w:rPr>
        <w:t>生态</w:t>
      </w:r>
      <w:r>
        <w:rPr>
          <w:rFonts w:ascii="仿宋_GB2312" w:hAnsi="仿宋_GB2312" w:cs="仿宋_GB2312"/>
          <w:sz w:val="21"/>
          <w:szCs w:val="21"/>
          <w:lang w:bidi="ar"/>
        </w:rPr>
        <w:t>环境局要求和规范，对现场进行巡检，督促现场技术人员按照规范进行运营维护工作；</w:t>
      </w:r>
    </w:p>
    <w:p>
      <w:pPr>
        <w:pStyle w:val="50"/>
        <w:widowControl/>
        <w:shd w:val="clear" w:color="auto" w:fill="FFFFFF"/>
        <w:spacing w:beforeAutospacing="0" w:afterAutospacing="0" w:line="450" w:lineRule="atLeast"/>
        <w:ind w:firstLine="420" w:firstLineChars="200"/>
        <w:rPr>
          <w:rFonts w:ascii="仿宋_GB2312" w:hAnsi="仿宋_GB2312" w:cs="仿宋_GB2312"/>
          <w:sz w:val="21"/>
          <w:szCs w:val="21"/>
          <w:lang w:bidi="ar"/>
        </w:rPr>
      </w:pPr>
      <w:r>
        <w:rPr>
          <w:rFonts w:ascii="仿宋_GB2312" w:hAnsi="仿宋_GB2312" w:cs="仿宋_GB2312"/>
          <w:sz w:val="21"/>
          <w:szCs w:val="21"/>
          <w:lang w:bidi="ar"/>
        </w:rPr>
        <w:t>4）负责审核现场运营情况、故障报告表、申购计划表等；</w:t>
      </w:r>
    </w:p>
    <w:p>
      <w:pPr>
        <w:pStyle w:val="50"/>
        <w:widowControl/>
        <w:shd w:val="clear" w:color="auto" w:fill="FFFFFF"/>
        <w:spacing w:beforeAutospacing="0" w:afterAutospacing="0" w:line="450" w:lineRule="atLeast"/>
        <w:ind w:firstLine="420" w:firstLineChars="200"/>
        <w:rPr>
          <w:rFonts w:ascii="仿宋_GB2312" w:hAnsi="仿宋_GB2312" w:cs="仿宋_GB2312"/>
          <w:sz w:val="21"/>
          <w:szCs w:val="21"/>
          <w:lang w:bidi="ar"/>
        </w:rPr>
      </w:pPr>
      <w:r>
        <w:rPr>
          <w:rFonts w:ascii="仿宋_GB2312" w:hAnsi="仿宋_GB2312" w:cs="仿宋_GB2312"/>
          <w:sz w:val="21"/>
          <w:szCs w:val="21"/>
          <w:lang w:bidi="ar"/>
        </w:rPr>
        <w:t>6）负责协调配合相关单位的工作；</w:t>
      </w:r>
    </w:p>
    <w:p>
      <w:pPr>
        <w:pStyle w:val="50"/>
        <w:widowControl/>
        <w:shd w:val="clear" w:color="auto" w:fill="FFFFFF"/>
        <w:spacing w:beforeAutospacing="0" w:afterAutospacing="0" w:line="450" w:lineRule="atLeast"/>
        <w:ind w:firstLine="420" w:firstLineChars="200"/>
        <w:rPr>
          <w:rFonts w:ascii="仿宋_GB2312" w:hAnsi="仿宋_GB2312" w:cs="仿宋_GB2312"/>
          <w:sz w:val="21"/>
          <w:szCs w:val="21"/>
          <w:lang w:bidi="ar"/>
        </w:rPr>
      </w:pPr>
      <w:r>
        <w:rPr>
          <w:rFonts w:ascii="仿宋_GB2312" w:hAnsi="仿宋_GB2312" w:cs="仿宋_GB2312"/>
          <w:sz w:val="21"/>
          <w:szCs w:val="21"/>
          <w:lang w:bidi="ar"/>
        </w:rPr>
        <w:t>7）负责定期总结运营情况，并根据运营工作的实际情况，制定相应的措施和方法；</w:t>
      </w:r>
    </w:p>
    <w:p>
      <w:pPr>
        <w:pStyle w:val="50"/>
        <w:widowControl/>
        <w:shd w:val="clear" w:color="auto" w:fill="FFFFFF"/>
        <w:spacing w:beforeAutospacing="0" w:afterAutospacing="0" w:line="450" w:lineRule="atLeast"/>
        <w:ind w:firstLine="420" w:firstLineChars="200"/>
        <w:rPr>
          <w:rFonts w:ascii="仿宋_GB2312" w:hAnsi="仿宋_GB2312" w:cs="仿宋_GB2312"/>
          <w:sz w:val="21"/>
          <w:szCs w:val="21"/>
          <w:lang w:bidi="ar"/>
        </w:rPr>
      </w:pPr>
      <w:r>
        <w:rPr>
          <w:rFonts w:ascii="仿宋_GB2312" w:hAnsi="仿宋_GB2312" w:cs="仿宋_GB2312"/>
          <w:sz w:val="21"/>
          <w:szCs w:val="21"/>
          <w:lang w:bidi="ar"/>
        </w:rPr>
        <w:t>8）负责与相关部门协调联系。</w:t>
      </w:r>
    </w:p>
    <w:p>
      <w:pPr>
        <w:tabs>
          <w:tab w:val="left" w:pos="0"/>
        </w:tabs>
        <w:spacing w:line="276" w:lineRule="auto"/>
        <w:ind w:firstLine="420" w:firstLineChars="200"/>
        <w:rPr>
          <w:rFonts w:ascii="宋体" w:hAnsi="宋体"/>
          <w:b/>
          <w:sz w:val="24"/>
        </w:rPr>
      </w:pPr>
      <w:r>
        <w:rPr>
          <w:rFonts w:hint="eastAsia" w:ascii="仿宋_GB2312" w:hAnsi="仿宋_GB2312" w:cs="仿宋_GB2312"/>
        </w:rPr>
        <w:t>★</w:t>
      </w:r>
      <w:r>
        <w:rPr>
          <w:rFonts w:hint="eastAsia" w:ascii="宋体" w:hAnsi="宋体"/>
          <w:b/>
          <w:sz w:val="24"/>
        </w:rPr>
        <w:t>3、人员工伤事故保险</w:t>
      </w:r>
    </w:p>
    <w:p>
      <w:pPr>
        <w:tabs>
          <w:tab w:val="left" w:pos="0"/>
        </w:tabs>
        <w:spacing w:line="276" w:lineRule="auto"/>
        <w:rPr>
          <w:rFonts w:ascii="宋体" w:hAnsi="宋体"/>
          <w:sz w:val="24"/>
        </w:rPr>
      </w:pPr>
      <w:r>
        <w:rPr>
          <w:rFonts w:hint="eastAsia" w:ascii="仿宋_GB2312" w:hAnsi="仿宋_GB2312" w:cs="仿宋_GB2312"/>
        </w:rPr>
        <w:t>★服务商应依照有关法律规定参加工伤保险，为其履行合同所雇佣的全部人员，缴纳工伤保险费。服务商因执行工作而造成采购人、服务商工作人员以及第三人损害的，由服务商承担全部责任。</w:t>
      </w:r>
    </w:p>
    <w:p>
      <w:pPr>
        <w:pStyle w:val="3"/>
        <w:spacing w:before="0" w:after="0" w:line="560" w:lineRule="exact"/>
        <w:rPr>
          <w:rFonts w:eastAsia="宋体"/>
          <w:sz w:val="28"/>
          <w:lang w:val="zh-CN"/>
        </w:rPr>
      </w:pPr>
      <w:r>
        <w:rPr>
          <w:rFonts w:hint="eastAsia" w:eastAsia="宋体"/>
          <w:sz w:val="28"/>
          <w:lang w:val="zh-CN"/>
        </w:rPr>
        <w:t>六、技术要求</w:t>
      </w:r>
    </w:p>
    <w:p>
      <w:pPr>
        <w:pStyle w:val="50"/>
        <w:widowControl/>
        <w:shd w:val="clear" w:color="auto" w:fill="FFFFFF"/>
        <w:spacing w:beforeAutospacing="0" w:afterAutospacing="0" w:line="450" w:lineRule="atLeast"/>
        <w:rPr>
          <w:rFonts w:ascii="仿宋_GB2312" w:hAnsi="仿宋_GB2312" w:cs="仿宋_GB2312"/>
          <w:kern w:val="2"/>
          <w:sz w:val="21"/>
        </w:rPr>
      </w:pPr>
      <w:r>
        <w:rPr>
          <w:rFonts w:ascii="仿宋_GB2312" w:hAnsi="仿宋_GB2312" w:cs="仿宋_GB2312"/>
          <w:kern w:val="2"/>
          <w:sz w:val="21"/>
        </w:rPr>
        <w:t>（一）执行标准</w:t>
      </w:r>
    </w:p>
    <w:p>
      <w:pPr>
        <w:pStyle w:val="50"/>
        <w:widowControl/>
        <w:shd w:val="clear" w:color="auto" w:fill="FFFFFF"/>
        <w:spacing w:beforeAutospacing="0" w:afterAutospacing="0" w:line="450" w:lineRule="atLeast"/>
        <w:rPr>
          <w:rFonts w:ascii="仿宋_GB2312" w:hAnsi="仿宋_GB2312" w:cs="仿宋_GB2312"/>
          <w:kern w:val="2"/>
          <w:sz w:val="21"/>
        </w:rPr>
      </w:pPr>
      <w:r>
        <w:rPr>
          <w:rFonts w:ascii="仿宋_GB2312" w:hAnsi="仿宋_GB2312" w:cs="仿宋_GB2312"/>
          <w:kern w:val="2"/>
          <w:sz w:val="21"/>
        </w:rPr>
        <w:t>《排污许可证申请与核发技术规范-医疗机构》（HJ1105-2020)</w:t>
      </w:r>
    </w:p>
    <w:p>
      <w:pPr>
        <w:pStyle w:val="50"/>
        <w:widowControl/>
        <w:shd w:val="clear" w:color="auto" w:fill="FFFFFF"/>
        <w:spacing w:beforeAutospacing="0" w:afterAutospacing="0" w:line="450" w:lineRule="atLeast"/>
        <w:rPr>
          <w:rFonts w:ascii="仿宋_GB2312" w:hAnsi="仿宋_GB2312" w:cs="仿宋_GB2312"/>
          <w:kern w:val="2"/>
          <w:sz w:val="21"/>
        </w:rPr>
      </w:pPr>
      <w:r>
        <w:rPr>
          <w:rFonts w:ascii="仿宋_GB2312" w:hAnsi="仿宋_GB2312" w:cs="仿宋_GB2312"/>
          <w:kern w:val="2"/>
          <w:sz w:val="21"/>
        </w:rPr>
        <w:t>《医疗机构水污染物排放标准》(GB18466)</w:t>
      </w:r>
    </w:p>
    <w:p>
      <w:pPr>
        <w:pStyle w:val="50"/>
        <w:widowControl/>
        <w:shd w:val="clear" w:color="auto" w:fill="FFFFFF"/>
        <w:spacing w:beforeAutospacing="0" w:afterAutospacing="0" w:line="450" w:lineRule="atLeast"/>
        <w:rPr>
          <w:rFonts w:ascii="仿宋_GB2312" w:hAnsi="仿宋_GB2312" w:cs="仿宋_GB2312"/>
          <w:kern w:val="2"/>
          <w:sz w:val="21"/>
        </w:rPr>
      </w:pPr>
      <w:r>
        <w:rPr>
          <w:rFonts w:ascii="仿宋_GB2312" w:hAnsi="仿宋_GB2312" w:cs="仿宋_GB2312"/>
          <w:kern w:val="2"/>
          <w:sz w:val="21"/>
        </w:rPr>
        <w:t>《污水监测技术规范》（HJ91.1)</w:t>
      </w:r>
    </w:p>
    <w:p>
      <w:pPr>
        <w:pStyle w:val="50"/>
        <w:widowControl/>
        <w:shd w:val="clear" w:color="auto" w:fill="FFFFFF"/>
        <w:spacing w:beforeAutospacing="0" w:afterAutospacing="0" w:line="450" w:lineRule="atLeast"/>
        <w:rPr>
          <w:rFonts w:ascii="仿宋_GB2312" w:hAnsi="仿宋_GB2312" w:cs="仿宋_GB2312"/>
          <w:kern w:val="2"/>
          <w:sz w:val="21"/>
        </w:rPr>
      </w:pPr>
      <w:r>
        <w:rPr>
          <w:rFonts w:ascii="仿宋_GB2312" w:hAnsi="仿宋_GB2312" w:cs="仿宋_GB2312"/>
          <w:kern w:val="2"/>
          <w:sz w:val="21"/>
        </w:rPr>
        <w:t>《水污染源在线监测系统安装技术规范（试行）》（HJ/T353)</w:t>
      </w:r>
    </w:p>
    <w:p>
      <w:pPr>
        <w:pStyle w:val="50"/>
        <w:widowControl/>
        <w:shd w:val="clear" w:color="auto" w:fill="FFFFFF"/>
        <w:spacing w:beforeAutospacing="0" w:afterAutospacing="0" w:line="450" w:lineRule="atLeast"/>
        <w:rPr>
          <w:rFonts w:ascii="仿宋_GB2312" w:hAnsi="仿宋_GB2312" w:cs="仿宋_GB2312"/>
          <w:kern w:val="2"/>
          <w:sz w:val="21"/>
        </w:rPr>
      </w:pPr>
      <w:r>
        <w:rPr>
          <w:rFonts w:ascii="仿宋_GB2312" w:hAnsi="仿宋_GB2312" w:cs="仿宋_GB2312"/>
          <w:kern w:val="2"/>
          <w:sz w:val="21"/>
        </w:rPr>
        <w:t>《水污染源在线监测系统验收技术规范（试行）》（HJ/T354)</w:t>
      </w:r>
    </w:p>
    <w:p>
      <w:pPr>
        <w:pStyle w:val="50"/>
        <w:widowControl/>
        <w:shd w:val="clear" w:color="auto" w:fill="FFFFFF"/>
        <w:spacing w:beforeAutospacing="0" w:afterAutospacing="0" w:line="450" w:lineRule="atLeast"/>
        <w:rPr>
          <w:rFonts w:ascii="仿宋_GB2312" w:hAnsi="仿宋_GB2312" w:cs="仿宋_GB2312"/>
          <w:kern w:val="2"/>
          <w:sz w:val="21"/>
        </w:rPr>
      </w:pPr>
      <w:r>
        <w:rPr>
          <w:rFonts w:ascii="仿宋_GB2312" w:hAnsi="仿宋_GB2312" w:cs="仿宋_GB2312"/>
          <w:kern w:val="2"/>
          <w:sz w:val="21"/>
        </w:rPr>
        <w:t>《水污染源在线监测系统运行与考核技术规范（试行）》（HJ/T355)</w:t>
      </w:r>
    </w:p>
    <w:p>
      <w:pPr>
        <w:pStyle w:val="50"/>
        <w:widowControl/>
        <w:shd w:val="clear" w:color="auto" w:fill="FFFFFF"/>
        <w:spacing w:beforeAutospacing="0" w:afterAutospacing="0" w:line="450" w:lineRule="atLeast"/>
        <w:rPr>
          <w:rFonts w:ascii="仿宋_GB2312" w:hAnsi="仿宋_GB2312" w:cs="仿宋_GB2312"/>
          <w:kern w:val="2"/>
          <w:sz w:val="21"/>
        </w:rPr>
      </w:pPr>
      <w:r>
        <w:rPr>
          <w:rFonts w:ascii="仿宋_GB2312" w:hAnsi="仿宋_GB2312" w:cs="仿宋_GB2312"/>
          <w:kern w:val="2"/>
          <w:sz w:val="21"/>
        </w:rPr>
        <w:t>《水污染源在线监测系统数据有效性判别技术规范（试行）》（HJ/T356)</w:t>
      </w:r>
    </w:p>
    <w:p>
      <w:pPr>
        <w:pStyle w:val="50"/>
        <w:widowControl/>
        <w:shd w:val="clear" w:color="auto" w:fill="FFFFFF"/>
        <w:spacing w:beforeAutospacing="0" w:afterAutospacing="0" w:line="450" w:lineRule="atLeast"/>
        <w:rPr>
          <w:rFonts w:ascii="仿宋_GB2312" w:hAnsi="仿宋_GB2312" w:cs="仿宋_GB2312"/>
          <w:kern w:val="2"/>
          <w:sz w:val="21"/>
        </w:rPr>
      </w:pPr>
      <w:r>
        <w:rPr>
          <w:rFonts w:ascii="仿宋_GB2312" w:hAnsi="仿宋_GB2312" w:cs="仿宋_GB2312"/>
          <w:kern w:val="2"/>
          <w:sz w:val="21"/>
        </w:rPr>
        <w:t>《水污染源在线监测系统安装技术规范（试行）》（HJ/353-2019)</w:t>
      </w:r>
    </w:p>
    <w:p>
      <w:pPr>
        <w:tabs>
          <w:tab w:val="left" w:pos="0"/>
        </w:tabs>
        <w:spacing w:line="276" w:lineRule="auto"/>
        <w:ind w:firstLine="480"/>
        <w:rPr>
          <w:rFonts w:ascii="宋体" w:hAnsi="宋体"/>
          <w:b/>
          <w:sz w:val="24"/>
        </w:rPr>
      </w:pPr>
      <w:r>
        <w:rPr>
          <w:rFonts w:hint="eastAsia" w:ascii="宋体" w:hAnsi="宋体"/>
          <w:b/>
          <w:sz w:val="24"/>
        </w:rPr>
        <w:t>七、违约责任</w:t>
      </w:r>
    </w:p>
    <w:p>
      <w:pPr>
        <w:ind w:firstLine="480"/>
        <w:rPr>
          <w:rFonts w:ascii="仿宋_GB2312" w:hAnsi="仿宋_GB2312" w:cs="仿宋_GB2312"/>
        </w:rPr>
      </w:pPr>
      <w:r>
        <w:rPr>
          <w:rFonts w:hint="eastAsia" w:ascii="仿宋_GB2312" w:hAnsi="仿宋_GB2312" w:cs="仿宋_GB2312"/>
        </w:rPr>
        <w:t>1.运营托管期内，未按国家相关规定提供运营托管工作或未认真填写相关记录，发现一次处扣100元，半年内发现第二次加倍，以此类推。</w:t>
      </w:r>
    </w:p>
    <w:p>
      <w:pPr>
        <w:ind w:firstLine="480"/>
        <w:rPr>
          <w:rFonts w:ascii="仿宋_GB2312" w:hAnsi="仿宋_GB2312" w:cs="仿宋_GB2312"/>
        </w:rPr>
      </w:pPr>
      <w:r>
        <w:rPr>
          <w:rFonts w:hint="eastAsia" w:ascii="仿宋_GB2312" w:hAnsi="仿宋_GB2312" w:cs="仿宋_GB2312"/>
        </w:rPr>
        <w:t>2.运营托管期内，工作人员电话无故停机、关机，发现一次扣100元，半年内发现第二次加倍，以此类推。</w:t>
      </w:r>
    </w:p>
    <w:p>
      <w:pPr>
        <w:ind w:firstLine="480"/>
        <w:rPr>
          <w:rFonts w:ascii="仿宋_GB2312" w:hAnsi="仿宋_GB2312" w:cs="仿宋_GB2312"/>
        </w:rPr>
      </w:pPr>
      <w:r>
        <w:rPr>
          <w:rFonts w:hint="eastAsia" w:ascii="仿宋_GB2312" w:hAnsi="仿宋_GB2312" w:cs="仿宋_GB2312"/>
        </w:rPr>
        <w:t>3.运营托管期内，发生设备故障或停运，服务商未及时汇报，或服务商项目负责人未在15分钟内到达现场并处理故障，发现一次处扣200元，半年内发现第二次加倍，以此类推。</w:t>
      </w:r>
    </w:p>
    <w:p>
      <w:pPr>
        <w:ind w:firstLine="480"/>
        <w:rPr>
          <w:rFonts w:ascii="仿宋_GB2312" w:hAnsi="仿宋_GB2312" w:cs="仿宋_GB2312"/>
        </w:rPr>
      </w:pPr>
      <w:r>
        <w:rPr>
          <w:rFonts w:hint="eastAsia" w:ascii="仿宋_GB2312" w:hAnsi="仿宋_GB2312" w:cs="仿宋_GB2312"/>
        </w:rPr>
        <w:t>4.运营托管期内，若发现更换的零配件以次充好，假冒伪劣，发现一次扣500元，且不予支付零配件费用，已支付的从应付维保款项中扣除。</w:t>
      </w:r>
    </w:p>
    <w:p>
      <w:pPr>
        <w:ind w:firstLine="480"/>
        <w:rPr>
          <w:rFonts w:ascii="仿宋_GB2312" w:hAnsi="仿宋_GB2312" w:cs="仿宋_GB2312"/>
        </w:rPr>
      </w:pPr>
      <w:r>
        <w:rPr>
          <w:rFonts w:hint="eastAsia" w:ascii="仿宋_GB2312" w:hAnsi="仿宋_GB2312" w:cs="仿宋_GB2312"/>
        </w:rPr>
        <w:t>5.运营托管期内，发现未定期对现场工作人员进行培训，发现一次扣100元，半年度发现第二次加倍，以此类推。</w:t>
      </w:r>
    </w:p>
    <w:p>
      <w:pPr>
        <w:ind w:firstLine="480"/>
        <w:rPr>
          <w:rFonts w:ascii="仿宋_GB2312" w:hAnsi="仿宋_GB2312" w:cs="仿宋_GB2312"/>
        </w:rPr>
      </w:pPr>
      <w:r>
        <w:rPr>
          <w:rFonts w:hint="eastAsia" w:ascii="仿宋_GB2312" w:hAnsi="仿宋_GB2312" w:cs="仿宋_GB2312"/>
        </w:rPr>
        <w:t>6.运营托管期内，发现站内设备一周以内同一故障发生2次，扣200元。</w:t>
      </w:r>
    </w:p>
    <w:p>
      <w:pPr>
        <w:ind w:firstLine="480"/>
        <w:rPr>
          <w:rFonts w:ascii="仿宋_GB2312" w:hAnsi="仿宋_GB2312" w:cs="仿宋_GB2312"/>
        </w:rPr>
      </w:pPr>
      <w:r>
        <w:rPr>
          <w:rFonts w:hint="eastAsia" w:ascii="仿宋_GB2312" w:hAnsi="仿宋_GB2312" w:cs="仿宋_GB2312"/>
        </w:rPr>
        <w:t>7.在自动监测站运营托管期间，服务商必须按合同要求，对自动监测站站进行每周2次值守，采购人有权对此进行不定时检查。如果检查中发现值班人员无故脱岗，每次罚款100元，员工累计脱岗次数超过3次，采购人有权要求服务商对自动监测站脱岗值班人员进行更换；自动监测站岗位脱岗累计超过5次的，采购人有权终止合同，如因脱岗产生不良后果的，服务商还应承担所有责任。</w:t>
      </w:r>
    </w:p>
    <w:p>
      <w:pPr>
        <w:ind w:firstLine="480"/>
        <w:rPr>
          <w:rFonts w:ascii="仿宋_GB2312" w:hAnsi="仿宋_GB2312" w:cs="仿宋_GB2312"/>
        </w:rPr>
      </w:pPr>
      <w:r>
        <w:rPr>
          <w:rFonts w:hint="eastAsia" w:ascii="仿宋_GB2312" w:hAnsi="仿宋_GB2312" w:cs="仿宋_GB2312"/>
        </w:rPr>
        <w:t>9.经采购人检查发现，服务商未按照规定记录自动监测站运行情况的、检测相关的监测指标，服务商应按100元/次支付违约金，如服务商未按规定进行维护保养的，服务商应按200元/次支付违约金，如因服务商维修保养不及时导致不良后果的，除支付违约金外，服务商还应承担全部责任。</w:t>
      </w:r>
    </w:p>
    <w:p>
      <w:pPr>
        <w:ind w:firstLine="480"/>
        <w:rPr>
          <w:rFonts w:ascii="仿宋_GB2312" w:hAnsi="仿宋_GB2312" w:cs="仿宋_GB2312"/>
        </w:rPr>
      </w:pPr>
      <w:r>
        <w:rPr>
          <w:rFonts w:hint="eastAsia" w:ascii="仿宋_GB2312" w:hAnsi="仿宋_GB2312" w:cs="仿宋_GB2312"/>
        </w:rPr>
        <w:t>10.服务商运营期间，保证采购人的设备设施完好无损，正常运行，严格按照处理工艺执行，保证自动监测站达标，自动监测站站设备发生故障后，服务商未能在双方约定时间内对设备进行修复时，服务商按每日500元支付违约金。如果因服务商原因未对自动监测站站故障设备进行修复，经环保单位检查发现相应问题或造成不良后果的，必须在环保部门或采购人规定的时间内彻底整改，相关责任及由此造成的损失由服务商承担。</w:t>
      </w:r>
    </w:p>
    <w:p>
      <w:pPr>
        <w:ind w:firstLine="480"/>
        <w:rPr>
          <w:rFonts w:ascii="仿宋_GB2312" w:hAnsi="仿宋_GB2312" w:cs="仿宋_GB2312"/>
          <w:color w:val="FF0000"/>
        </w:rPr>
      </w:pPr>
      <w:r>
        <w:rPr>
          <w:rFonts w:hint="eastAsia" w:ascii="仿宋_GB2312" w:hAnsi="仿宋_GB2312" w:cs="仿宋_GB2312"/>
        </w:rPr>
        <w:t>★11.除不可抗力外，如果服务商导致自动监测站不达标而受环保部门通报、处罚，服务商除承担所有环保处罚、罚款及给采购人造成经济损失补偿，每年累计超过两次（含两次），采购人有权解除合同。如果服务商直接排放污水受环保部门通报、处罚，并造成外部水体严重污染引起一系列重大环境事件，服务商需承担所有环保处罚、罚款及给采购人造成经济损失补偿，且采购人有权解除合同。</w:t>
      </w:r>
    </w:p>
    <w:p>
      <w:pPr>
        <w:pStyle w:val="268"/>
        <w:spacing w:line="320" w:lineRule="exact"/>
        <w:ind w:firstLine="480" w:firstLineChars="200"/>
        <w:rPr>
          <w:rFonts w:ascii="仿宋_GB2312" w:hAnsi="仿宋_GB2312" w:cs="仿宋_GB2312"/>
          <w:kern w:val="2"/>
          <w:sz w:val="21"/>
        </w:rPr>
      </w:pPr>
      <w:r>
        <w:rPr>
          <w:rFonts w:hint="eastAsia" w:ascii="仿宋_GB2312" w:hAnsi="仿宋_GB2312" w:cs="仿宋_GB2312"/>
        </w:rPr>
        <w:t>★</w:t>
      </w:r>
      <w:r>
        <w:rPr>
          <w:rFonts w:hint="eastAsia" w:ascii="仿宋_GB2312" w:hAnsi="仿宋_GB2312" w:cs="仿宋_GB2312"/>
          <w:kern w:val="2"/>
          <w:sz w:val="21"/>
        </w:rPr>
        <w:t>12.因服务商的行为给采购人造成损害的，对于采购人因此而产生的全部损失（包括但不限于直接损失、间接损失以及因维权而支出的全部费用），如果服务商支付的违约金尚未足以赔付的，服务商还应当向采购人支付差额部分的款项作为对采购人的赔偿金。</w:t>
      </w:r>
    </w:p>
    <w:p>
      <w:pPr>
        <w:pStyle w:val="268"/>
        <w:spacing w:line="320" w:lineRule="exact"/>
        <w:ind w:firstLine="420" w:firstLineChars="200"/>
        <w:rPr>
          <w:rFonts w:ascii="仿宋_GB2312" w:hAnsi="仿宋_GB2312" w:cs="仿宋_GB2312"/>
          <w:kern w:val="2"/>
          <w:sz w:val="21"/>
        </w:rPr>
      </w:pPr>
      <w:r>
        <w:rPr>
          <w:rFonts w:hint="eastAsia" w:ascii="仿宋_GB2312" w:hAnsi="仿宋_GB2312" w:cs="仿宋_GB2312"/>
          <w:kern w:val="2"/>
          <w:sz w:val="21"/>
        </w:rPr>
        <w:t>13、对于服务商应当支付的违约金、赔偿金等，采购人有权从未支付的款项中预先扣除。</w:t>
      </w:r>
    </w:p>
    <w:p>
      <w:pPr>
        <w:pStyle w:val="268"/>
        <w:spacing w:line="320" w:lineRule="exact"/>
        <w:ind w:firstLine="420" w:firstLineChars="200"/>
        <w:rPr>
          <w:rFonts w:ascii="仿宋_GB2312" w:hAnsi="仿宋_GB2312" w:cs="仿宋_GB2312"/>
          <w:kern w:val="2"/>
          <w:sz w:val="21"/>
        </w:rPr>
      </w:pPr>
      <w:r>
        <w:rPr>
          <w:rFonts w:hint="eastAsia" w:ascii="仿宋_GB2312" w:hAnsi="仿宋_GB2312" w:cs="仿宋_GB2312"/>
          <w:kern w:val="2"/>
          <w:sz w:val="21"/>
        </w:rPr>
        <w:t>14、无论服务商是否支付赔偿金或违约金，均不因此导致服务商有权终止或解除合同，采购人仍有权继续要求服务商全面、按期履行合同义务。</w:t>
      </w:r>
    </w:p>
    <w:p>
      <w:pPr>
        <w:ind w:firstLine="480"/>
        <w:rPr>
          <w:rFonts w:ascii="仿宋_GB2312" w:hAnsi="仿宋_GB2312" w:cs="仿宋_GB2312"/>
        </w:rPr>
      </w:pPr>
      <w:r>
        <w:rPr>
          <w:rFonts w:hint="eastAsia" w:ascii="仿宋_GB2312" w:hAnsi="仿宋_GB2312" w:cs="仿宋_GB2312"/>
        </w:rPr>
        <w:t>★15.如遇以下情况，采购人有权单方面终止合同，同时不向服务商支付运营费用，已经支付的运营费用，并赔偿甲方及第三方损失：</w:t>
      </w:r>
    </w:p>
    <w:p>
      <w:pPr>
        <w:ind w:firstLine="480"/>
        <w:rPr>
          <w:rFonts w:ascii="仿宋_GB2312" w:hAnsi="仿宋_GB2312" w:cs="仿宋_GB2312"/>
        </w:rPr>
      </w:pPr>
      <w:r>
        <w:rPr>
          <w:rFonts w:hint="eastAsia" w:ascii="仿宋_GB2312" w:hAnsi="仿宋_GB2312" w:cs="仿宋_GB2312"/>
        </w:rPr>
        <w:t>(1)服务商三次以上未按照合同的约定履行其义务；</w:t>
      </w:r>
    </w:p>
    <w:p>
      <w:pPr>
        <w:ind w:firstLine="480"/>
        <w:rPr>
          <w:rFonts w:ascii="仿宋_GB2312" w:hAnsi="仿宋_GB2312" w:cs="仿宋_GB2312"/>
        </w:rPr>
      </w:pPr>
      <w:r>
        <w:rPr>
          <w:rFonts w:hint="eastAsia" w:ascii="仿宋_GB2312" w:hAnsi="仿宋_GB2312" w:cs="仿宋_GB2312"/>
        </w:rPr>
        <w:t>(2)经采购人通知后，服务商不进行运营管理或整改的；</w:t>
      </w:r>
    </w:p>
    <w:p>
      <w:pPr>
        <w:ind w:firstLine="480"/>
        <w:rPr>
          <w:rFonts w:ascii="仿宋_GB2312" w:hAnsi="仿宋_GB2312" w:cs="仿宋_GB2312"/>
        </w:rPr>
      </w:pPr>
      <w:r>
        <w:rPr>
          <w:rFonts w:hint="eastAsia" w:ascii="仿宋_GB2312" w:hAnsi="仿宋_GB2312" w:cs="仿宋_GB2312"/>
        </w:rPr>
        <w:t>(3)采购人认为在合同期内服务商明显不能继续胜任其工作；</w:t>
      </w:r>
    </w:p>
    <w:p>
      <w:pPr>
        <w:ind w:firstLine="480"/>
        <w:rPr>
          <w:rFonts w:ascii="仿宋_GB2312" w:hAnsi="仿宋_GB2312" w:cs="仿宋_GB2312"/>
        </w:rPr>
      </w:pPr>
      <w:r>
        <w:rPr>
          <w:rFonts w:hint="eastAsia" w:ascii="仿宋_GB2312" w:hAnsi="仿宋_GB2312" w:cs="仿宋_GB2312"/>
        </w:rPr>
        <w:t>(4)因服务商或服务商员工的原因给采购人或第三方造成重大损失的；</w:t>
      </w:r>
    </w:p>
    <w:p>
      <w:pPr>
        <w:ind w:firstLine="480"/>
        <w:rPr>
          <w:rFonts w:ascii="仿宋_GB2312" w:hAnsi="仿宋_GB2312" w:cs="仿宋_GB2312"/>
        </w:rPr>
      </w:pPr>
      <w:r>
        <w:rPr>
          <w:rFonts w:hint="eastAsia" w:ascii="仿宋_GB2312" w:hAnsi="仿宋_GB2312" w:cs="仿宋_GB2312"/>
        </w:rPr>
        <w:t>(5)未经采购人同意，服务商擅自更换常驻维保人员。</w:t>
      </w:r>
    </w:p>
    <w:p>
      <w:pPr>
        <w:ind w:firstLine="480"/>
        <w:rPr>
          <w:rFonts w:ascii="仿宋_GB2312" w:hAnsi="仿宋_GB2312" w:cs="仿宋_GB2312"/>
        </w:rPr>
      </w:pPr>
      <w:r>
        <w:rPr>
          <w:rFonts w:hint="eastAsia" w:ascii="仿宋_GB2312" w:hAnsi="仿宋_GB2312" w:cs="仿宋_GB2312"/>
        </w:rPr>
        <w:t>19.采购人无正当理由未按照约定向服务商支付费用的，每延误一日应当向乙方服务商支付延误部分费用0.05%的违约金。</w:t>
      </w:r>
    </w:p>
    <w:p>
      <w:pPr>
        <w:rPr>
          <w:rFonts w:ascii="宋体" w:hAnsi="宋体"/>
          <w:b/>
          <w:sz w:val="24"/>
        </w:rPr>
      </w:pPr>
      <w:r>
        <w:rPr>
          <w:rFonts w:hint="eastAsia" w:ascii="宋体" w:hAnsi="宋体"/>
          <w:b/>
          <w:sz w:val="24"/>
        </w:rPr>
        <w:t>八、项目其他要求</w:t>
      </w:r>
    </w:p>
    <w:p>
      <w:pPr>
        <w:pStyle w:val="50"/>
        <w:widowControl/>
        <w:spacing w:beforeAutospacing="0" w:afterAutospacing="0" w:line="450" w:lineRule="atLeast"/>
        <w:ind w:left="1260" w:hanging="420"/>
        <w:rPr>
          <w:rFonts w:ascii="微软雅黑" w:hAnsi="微软雅黑" w:eastAsia="微软雅黑" w:cs="微软雅黑"/>
          <w:color w:val="000000"/>
          <w:sz w:val="21"/>
          <w:szCs w:val="21"/>
        </w:rPr>
      </w:pPr>
      <w:r>
        <w:rPr>
          <w:rFonts w:ascii="微软雅黑" w:hAnsi="微软雅黑" w:eastAsia="微软雅黑" w:cs="微软雅黑"/>
          <w:color w:val="000000"/>
          <w:sz w:val="21"/>
          <w:szCs w:val="21"/>
        </w:rPr>
        <w:t>维保服务质量保障、设备运行情况</w:t>
      </w:r>
    </w:p>
    <w:p>
      <w:pPr>
        <w:pStyle w:val="50"/>
        <w:widowControl/>
        <w:spacing w:beforeAutospacing="0" w:afterAutospacing="0" w:line="450" w:lineRule="atLeast"/>
        <w:ind w:firstLine="420" w:firstLineChars="200"/>
        <w:rPr>
          <w:rFonts w:ascii="微软雅黑" w:hAnsi="微软雅黑" w:eastAsia="微软雅黑" w:cs="微软雅黑"/>
          <w:color w:val="000000" w:themeColor="text1"/>
          <w:sz w:val="21"/>
          <w:szCs w:val="21"/>
        </w:rPr>
      </w:pPr>
      <w:r>
        <w:rPr>
          <w:rFonts w:ascii="微软雅黑" w:hAnsi="微软雅黑" w:eastAsia="微软雅黑" w:cs="微软雅黑"/>
          <w:color w:val="000000" w:themeColor="text1"/>
          <w:sz w:val="21"/>
          <w:szCs w:val="21"/>
        </w:rPr>
        <w:t>1、工艺设备未出现大的故障，设备出现故障，接到招标方电话2小时内赶到现场处理解决。一般故障排除时间不超过2小时，复杂故障排除时间不超过24小时。</w:t>
      </w:r>
    </w:p>
    <w:p>
      <w:pPr>
        <w:pStyle w:val="50"/>
        <w:widowControl/>
        <w:spacing w:beforeAutospacing="0" w:afterAutospacing="0" w:line="450" w:lineRule="atLeast"/>
        <w:ind w:firstLine="420" w:firstLineChars="200"/>
        <w:rPr>
          <w:rFonts w:ascii="微软雅黑" w:hAnsi="微软雅黑" w:eastAsia="微软雅黑" w:cs="微软雅黑"/>
          <w:b/>
          <w:bCs/>
          <w:color w:val="000000" w:themeColor="text1"/>
          <w:sz w:val="21"/>
          <w:szCs w:val="21"/>
        </w:rPr>
      </w:pPr>
      <w:r>
        <w:rPr>
          <w:rFonts w:ascii="微软雅黑" w:hAnsi="微软雅黑" w:eastAsia="微软雅黑" w:cs="微软雅黑"/>
          <w:color w:val="000000" w:themeColor="text1"/>
          <w:sz w:val="21"/>
          <w:szCs w:val="21"/>
        </w:rPr>
        <w:t>2、巡查到位，将安全隐患及时解决，未有投诉发生</w:t>
      </w:r>
    </w:p>
    <w:p>
      <w:pPr>
        <w:pStyle w:val="50"/>
        <w:widowControl/>
        <w:spacing w:beforeAutospacing="0" w:afterAutospacing="0" w:line="450" w:lineRule="atLeast"/>
        <w:ind w:firstLine="420" w:firstLineChars="200"/>
        <w:rPr>
          <w:rFonts w:ascii="微软雅黑" w:hAnsi="微软雅黑" w:eastAsia="微软雅黑" w:cs="微软雅黑"/>
          <w:b/>
          <w:bCs/>
          <w:color w:val="000000" w:themeColor="text1"/>
          <w:sz w:val="21"/>
          <w:szCs w:val="21"/>
        </w:rPr>
      </w:pPr>
      <w:r>
        <w:rPr>
          <w:rFonts w:ascii="微软雅黑" w:hAnsi="微软雅黑" w:eastAsia="微软雅黑" w:cs="微软雅黑"/>
          <w:b/>
          <w:bCs/>
          <w:color w:val="000000" w:themeColor="text1"/>
          <w:sz w:val="21"/>
          <w:szCs w:val="21"/>
        </w:rPr>
        <w:t>3、作业操作标准化流程，现场未出现安全事故</w:t>
      </w:r>
    </w:p>
    <w:p>
      <w:pPr>
        <w:pStyle w:val="50"/>
        <w:widowControl/>
        <w:spacing w:beforeAutospacing="0" w:afterAutospacing="0" w:line="450" w:lineRule="atLeast"/>
        <w:ind w:firstLine="420" w:firstLineChars="200"/>
        <w:rPr>
          <w:rFonts w:ascii="微软雅黑" w:hAnsi="微软雅黑" w:eastAsia="微软雅黑" w:cs="微软雅黑"/>
          <w:color w:val="000000" w:themeColor="text1"/>
          <w:sz w:val="21"/>
          <w:szCs w:val="21"/>
        </w:rPr>
      </w:pPr>
      <w:r>
        <w:rPr>
          <w:rFonts w:ascii="微软雅黑" w:hAnsi="微软雅黑" w:eastAsia="微软雅黑" w:cs="微软雅黑"/>
          <w:color w:val="000000" w:themeColor="text1"/>
          <w:sz w:val="21"/>
          <w:szCs w:val="21"/>
        </w:rPr>
        <w:t>4、施工时公共实施的保护较完好，医院未有管理程序混乱现象</w:t>
      </w:r>
    </w:p>
    <w:p>
      <w:pPr>
        <w:pStyle w:val="50"/>
        <w:widowControl/>
        <w:spacing w:beforeAutospacing="0" w:afterAutospacing="0" w:line="450" w:lineRule="atLeast"/>
        <w:ind w:firstLine="420" w:firstLineChars="200"/>
        <w:rPr>
          <w:rFonts w:ascii="微软雅黑" w:hAnsi="微软雅黑" w:eastAsia="微软雅黑" w:cs="微软雅黑"/>
          <w:color w:val="000000" w:themeColor="text1"/>
          <w:sz w:val="21"/>
          <w:szCs w:val="21"/>
        </w:rPr>
      </w:pPr>
      <w:r>
        <w:rPr>
          <w:rFonts w:ascii="微软雅黑" w:hAnsi="微软雅黑" w:eastAsia="微软雅黑" w:cs="微软雅黑"/>
          <w:color w:val="000000" w:themeColor="text1"/>
          <w:sz w:val="21"/>
          <w:szCs w:val="21"/>
        </w:rPr>
        <w:t>5、严格按照安全防护要求进行操作</w:t>
      </w:r>
    </w:p>
    <w:p>
      <w:pPr>
        <w:pStyle w:val="50"/>
        <w:widowControl/>
        <w:spacing w:beforeAutospacing="0" w:afterAutospacing="0" w:line="450" w:lineRule="atLeast"/>
        <w:ind w:firstLine="420" w:firstLineChars="200"/>
        <w:rPr>
          <w:rFonts w:ascii="微软雅黑" w:hAnsi="微软雅黑" w:eastAsia="微软雅黑" w:cs="微软雅黑"/>
          <w:color w:val="000000" w:themeColor="text1"/>
          <w:sz w:val="21"/>
          <w:szCs w:val="21"/>
        </w:rPr>
      </w:pPr>
      <w:r>
        <w:rPr>
          <w:rFonts w:ascii="微软雅黑" w:hAnsi="微软雅黑" w:eastAsia="微软雅黑" w:cs="微软雅黑"/>
          <w:color w:val="000000" w:themeColor="text1"/>
          <w:sz w:val="21"/>
          <w:szCs w:val="21"/>
        </w:rPr>
        <w:t>6、设备零配件、耗材更换及时更换，有记录</w:t>
      </w:r>
    </w:p>
    <w:p>
      <w:pPr>
        <w:tabs>
          <w:tab w:val="left" w:pos="0"/>
        </w:tabs>
        <w:ind w:firstLine="480"/>
        <w:rPr>
          <w:rFonts w:ascii="仿宋_GB2312" w:hAnsi="仿宋_GB2312" w:cs="仿宋_GB2312"/>
        </w:rPr>
      </w:pPr>
      <w:r>
        <w:rPr>
          <w:rFonts w:hint="eastAsia" w:ascii="仿宋_GB2312" w:hAnsi="仿宋_GB2312" w:cs="仿宋_GB2312"/>
        </w:rPr>
        <w:t>7.知识产权</w:t>
      </w:r>
    </w:p>
    <w:p>
      <w:pPr>
        <w:snapToGrid w:val="0"/>
        <w:spacing w:line="400" w:lineRule="exact"/>
        <w:ind w:firstLine="540"/>
        <w:rPr>
          <w:rFonts w:ascii="仿宋_GB2312" w:hAnsi="仿宋_GB2312" w:cs="仿宋_GB2312"/>
        </w:rPr>
      </w:pPr>
      <w:r>
        <w:rPr>
          <w:rFonts w:hint="eastAsia" w:ascii="仿宋_GB2312" w:hAnsi="仿宋_GB2312" w:cs="仿宋_GB2312"/>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400" w:lineRule="exact"/>
        <w:ind w:firstLine="540"/>
        <w:rPr>
          <w:rFonts w:ascii="仿宋_GB2312" w:hAnsi="仿宋_GB2312" w:cs="仿宋_GB2312"/>
        </w:rPr>
      </w:pPr>
      <w:r>
        <w:rPr>
          <w:rFonts w:hint="eastAsia" w:ascii="仿宋_GB2312" w:hAnsi="仿宋_GB2312" w:cs="仿宋_GB2312"/>
        </w:rPr>
        <w:t>注：（若涉及软件开发等服务类项目知识产权的，知识产权归采购人所有）。</w:t>
      </w:r>
    </w:p>
    <w:p/>
    <w:p>
      <w:pPr>
        <w:pStyle w:val="33"/>
        <w:ind w:firstLine="0" w:firstLineChars="0"/>
        <w:rPr>
          <w:rFonts w:ascii="宋体" w:hAnsi="宋体" w:eastAsia="宋体" w:cs="宋体"/>
          <w:b/>
          <w:bCs/>
          <w:sz w:val="28"/>
          <w:szCs w:val="32"/>
          <w:lang w:val="zh-CN"/>
        </w:rPr>
      </w:pPr>
      <w:r>
        <w:rPr>
          <w:rFonts w:hint="eastAsia" w:ascii="宋体" w:hAnsi="宋体" w:eastAsia="宋体" w:cs="宋体"/>
          <w:b/>
          <w:bCs/>
          <w:sz w:val="28"/>
          <w:szCs w:val="32"/>
          <w:lang w:val="zh-CN"/>
        </w:rPr>
        <w:t>九、自动监测站设施运营维护服务合同期限</w:t>
      </w:r>
    </w:p>
    <w:p>
      <w:pPr>
        <w:pStyle w:val="33"/>
        <w:ind w:firstLine="420"/>
        <w:rPr>
          <w:rFonts w:ascii="宋体" w:hAnsi="宋体" w:eastAsia="宋体" w:cs="宋体"/>
          <w:b/>
          <w:bCs/>
          <w:sz w:val="28"/>
          <w:szCs w:val="32"/>
          <w:lang w:val="zh-CN"/>
        </w:rPr>
      </w:pPr>
      <w:r>
        <w:rPr>
          <w:rFonts w:hint="eastAsia" w:ascii="仿宋_GB2312" w:hAnsi="仿宋_GB2312" w:eastAsia="宋体" w:cs="仿宋_GB2312"/>
          <w:spacing w:val="0"/>
          <w:sz w:val="21"/>
        </w:rPr>
        <w:t>本合同期限为</w:t>
      </w:r>
      <w:r>
        <w:rPr>
          <w:rFonts w:ascii="仿宋_GB2312" w:hAnsi="仿宋_GB2312" w:eastAsia="宋体" w:cs="仿宋_GB2312"/>
          <w:spacing w:val="0"/>
          <w:sz w:val="21"/>
        </w:rPr>
        <w:t>壹</w:t>
      </w:r>
      <w:r>
        <w:rPr>
          <w:rFonts w:hint="eastAsia" w:ascii="仿宋_GB2312" w:hAnsi="仿宋_GB2312" w:eastAsia="宋体" w:cs="仿宋_GB2312"/>
          <w:spacing w:val="0"/>
          <w:sz w:val="21"/>
        </w:rPr>
        <w:t>年，自   年  月   日起。本合同在第一次期限到期后供需双方均无异议，可续签</w:t>
      </w:r>
      <w:r>
        <w:rPr>
          <w:rFonts w:ascii="仿宋_GB2312" w:hAnsi="仿宋_GB2312" w:eastAsia="宋体" w:cs="仿宋_GB2312"/>
          <w:spacing w:val="0"/>
          <w:sz w:val="21"/>
        </w:rPr>
        <w:t>壹</w:t>
      </w:r>
      <w:r>
        <w:rPr>
          <w:rFonts w:hint="eastAsia" w:ascii="仿宋_GB2312" w:hAnsi="仿宋_GB2312" w:eastAsia="宋体" w:cs="仿宋_GB2312"/>
          <w:spacing w:val="0"/>
          <w:sz w:val="21"/>
        </w:rPr>
        <w:t>年期限的合同，最长合同期限为</w:t>
      </w:r>
      <w:r>
        <w:rPr>
          <w:rFonts w:ascii="仿宋_GB2312" w:hAnsi="仿宋_GB2312" w:eastAsia="宋体" w:cs="仿宋_GB2312"/>
          <w:spacing w:val="0"/>
          <w:sz w:val="21"/>
        </w:rPr>
        <w:t>36</w:t>
      </w:r>
      <w:r>
        <w:rPr>
          <w:rFonts w:hint="eastAsia" w:ascii="仿宋_GB2312" w:hAnsi="仿宋_GB2312" w:eastAsia="宋体" w:cs="仿宋_GB2312"/>
          <w:spacing w:val="0"/>
          <w:sz w:val="21"/>
        </w:rPr>
        <w:t>个月（包含本次服务期限）。第</w:t>
      </w:r>
      <w:r>
        <w:rPr>
          <w:rFonts w:ascii="仿宋_GB2312" w:hAnsi="仿宋_GB2312" w:eastAsia="宋体" w:cs="仿宋_GB2312"/>
          <w:spacing w:val="0"/>
          <w:sz w:val="21"/>
        </w:rPr>
        <w:t>1</w:t>
      </w:r>
      <w:r>
        <w:rPr>
          <w:rFonts w:hint="eastAsia" w:ascii="仿宋_GB2312" w:hAnsi="仿宋_GB2312" w:eastAsia="宋体" w:cs="仿宋_GB2312"/>
          <w:spacing w:val="0"/>
          <w:sz w:val="21"/>
        </w:rPr>
        <w:t>年合同期限结束后，任何一方都可在到期日前要求本协议到期后自动终止，但必须在本协议到期日之前至少提前三个月书面通知对方。</w:t>
      </w:r>
    </w:p>
    <w:p>
      <w:pPr>
        <w:rPr>
          <w:rFonts w:ascii="宋体" w:hAnsi="宋体" w:cs="宋体"/>
          <w:b/>
          <w:bCs/>
          <w:spacing w:val="20"/>
          <w:sz w:val="28"/>
          <w:szCs w:val="32"/>
          <w:lang w:val="zh-CN"/>
        </w:rPr>
      </w:pPr>
      <w:r>
        <w:rPr>
          <w:rFonts w:hint="eastAsia" w:ascii="宋体" w:hAnsi="宋体" w:cs="宋体"/>
          <w:b/>
          <w:bCs/>
          <w:spacing w:val="20"/>
          <w:sz w:val="28"/>
          <w:szCs w:val="32"/>
          <w:lang w:val="zh-CN"/>
        </w:rPr>
        <w:t>十、监管及考核要求</w:t>
      </w:r>
    </w:p>
    <w:p>
      <w:pPr>
        <w:widowControl/>
        <w:wordWrap w:val="0"/>
        <w:spacing w:line="360" w:lineRule="auto"/>
        <w:jc w:val="left"/>
        <w:rPr>
          <w:rFonts w:ascii="仿宋_GB2312" w:hAnsi="仿宋_GB2312" w:cs="仿宋_GB2312"/>
        </w:rPr>
      </w:pPr>
      <w:r>
        <w:rPr>
          <w:rFonts w:hint="eastAsia" w:ascii="仿宋_GB2312" w:hAnsi="仿宋_GB2312" w:cs="仿宋_GB2312"/>
        </w:rPr>
        <w:t>考核办法</w:t>
      </w:r>
    </w:p>
    <w:p>
      <w:pPr>
        <w:pStyle w:val="50"/>
        <w:widowControl/>
        <w:spacing w:beforeAutospacing="0" w:afterAutospacing="0" w:line="450" w:lineRule="atLeast"/>
        <w:ind w:left="1260" w:hanging="420"/>
        <w:rPr>
          <w:rFonts w:ascii="微软雅黑" w:hAnsi="微软雅黑" w:eastAsia="微软雅黑" w:cs="微软雅黑"/>
          <w:color w:val="000000"/>
          <w:sz w:val="21"/>
          <w:szCs w:val="21"/>
        </w:rPr>
      </w:pPr>
      <w:r>
        <w:rPr>
          <w:rFonts w:ascii="微软雅黑" w:hAnsi="微软雅黑" w:eastAsia="微软雅黑" w:cs="微软雅黑"/>
          <w:color w:val="000000"/>
          <w:sz w:val="21"/>
          <w:szCs w:val="21"/>
        </w:rPr>
        <w:t>1、 定期对在线监测设备和监控系统进行巡检，巡检有记录</w:t>
      </w:r>
      <w:r>
        <w:rPr>
          <w:rFonts w:hint="eastAsia" w:ascii="微软雅黑" w:hAnsi="微软雅黑" w:eastAsia="微软雅黑" w:cs="微软雅黑"/>
          <w:color w:val="000000"/>
          <w:sz w:val="21"/>
          <w:szCs w:val="21"/>
        </w:rPr>
        <w:t>，违反规定</w:t>
      </w:r>
      <w:r>
        <w:rPr>
          <w:rFonts w:ascii="微软雅黑" w:hAnsi="微软雅黑" w:eastAsia="微软雅黑" w:cs="微软雅黑"/>
          <w:color w:val="000000"/>
          <w:sz w:val="21"/>
          <w:szCs w:val="21"/>
        </w:rPr>
        <w:t>1</w:t>
      </w:r>
      <w:r>
        <w:rPr>
          <w:rFonts w:hint="eastAsia" w:ascii="微软雅黑" w:hAnsi="微软雅黑" w:eastAsia="微软雅黑" w:cs="微软雅黑"/>
          <w:color w:val="000000"/>
          <w:sz w:val="21"/>
          <w:szCs w:val="21"/>
        </w:rPr>
        <w:t>次扣</w:t>
      </w:r>
      <w:r>
        <w:rPr>
          <w:rFonts w:ascii="微软雅黑" w:hAnsi="微软雅黑" w:eastAsia="微软雅黑" w:cs="微软雅黑"/>
          <w:color w:val="000000"/>
          <w:sz w:val="21"/>
          <w:szCs w:val="21"/>
        </w:rPr>
        <w:t>（</w:t>
      </w:r>
      <w:r>
        <w:rPr>
          <w:rFonts w:hint="eastAsia" w:ascii="微软雅黑" w:hAnsi="微软雅黑" w:eastAsia="微软雅黑" w:cs="微软雅黑"/>
          <w:color w:val="000000"/>
          <w:sz w:val="21"/>
          <w:szCs w:val="21"/>
        </w:rPr>
        <w:t>8</w:t>
      </w:r>
      <w:r>
        <w:rPr>
          <w:rFonts w:hint="eastAsia" w:ascii="仿宋_GB2312" w:cs="黑体"/>
          <w:szCs w:val="18"/>
        </w:rPr>
        <w:t>分</w:t>
      </w:r>
      <w:r>
        <w:rPr>
          <w:rFonts w:ascii="微软雅黑" w:hAnsi="微软雅黑" w:eastAsia="微软雅黑" w:cs="微软雅黑"/>
          <w:color w:val="000000"/>
          <w:sz w:val="21"/>
          <w:szCs w:val="21"/>
        </w:rPr>
        <w:t>）</w:t>
      </w:r>
    </w:p>
    <w:p>
      <w:pPr>
        <w:pStyle w:val="50"/>
        <w:widowControl/>
        <w:spacing w:beforeAutospacing="0" w:afterAutospacing="0" w:line="450" w:lineRule="atLeast"/>
        <w:ind w:left="1260" w:hanging="420"/>
        <w:rPr>
          <w:rFonts w:ascii="微软雅黑" w:hAnsi="微软雅黑" w:eastAsia="微软雅黑" w:cs="微软雅黑"/>
          <w:color w:val="000000"/>
          <w:sz w:val="21"/>
          <w:szCs w:val="21"/>
        </w:rPr>
      </w:pPr>
      <w:r>
        <w:rPr>
          <w:rFonts w:ascii="微软雅黑" w:hAnsi="微软雅黑" w:eastAsia="微软雅黑" w:cs="微软雅黑"/>
          <w:color w:val="000000"/>
          <w:sz w:val="21"/>
          <w:szCs w:val="21"/>
        </w:rPr>
        <w:t>2、 严格按照在线监测设备的操作规范进行操作维护</w:t>
      </w:r>
      <w:r>
        <w:rPr>
          <w:rFonts w:hint="eastAsia" w:ascii="微软雅黑" w:hAnsi="微软雅黑" w:eastAsia="微软雅黑" w:cs="微软雅黑"/>
          <w:color w:val="000000"/>
          <w:sz w:val="21"/>
          <w:szCs w:val="21"/>
        </w:rPr>
        <w:t>，违反规定</w:t>
      </w:r>
      <w:r>
        <w:rPr>
          <w:rFonts w:ascii="微软雅黑" w:hAnsi="微软雅黑" w:eastAsia="微软雅黑" w:cs="微软雅黑"/>
          <w:color w:val="000000"/>
          <w:sz w:val="21"/>
          <w:szCs w:val="21"/>
        </w:rPr>
        <w:t>1</w:t>
      </w:r>
      <w:r>
        <w:rPr>
          <w:rFonts w:hint="eastAsia" w:ascii="微软雅黑" w:hAnsi="微软雅黑" w:eastAsia="微软雅黑" w:cs="微软雅黑"/>
          <w:color w:val="000000"/>
          <w:sz w:val="21"/>
          <w:szCs w:val="21"/>
        </w:rPr>
        <w:t>次扣</w:t>
      </w:r>
      <w:r>
        <w:rPr>
          <w:rFonts w:ascii="微软雅黑" w:hAnsi="微软雅黑" w:eastAsia="微软雅黑" w:cs="微软雅黑"/>
          <w:color w:val="000000"/>
          <w:sz w:val="21"/>
          <w:szCs w:val="21"/>
        </w:rPr>
        <w:t>（</w:t>
      </w:r>
      <w:r>
        <w:rPr>
          <w:rFonts w:hint="eastAsia" w:ascii="微软雅黑" w:hAnsi="微软雅黑" w:eastAsia="微软雅黑" w:cs="微软雅黑"/>
          <w:color w:val="000000"/>
          <w:sz w:val="21"/>
          <w:szCs w:val="21"/>
        </w:rPr>
        <w:t>10</w:t>
      </w:r>
      <w:r>
        <w:rPr>
          <w:rFonts w:hint="eastAsia" w:ascii="仿宋_GB2312" w:cs="黑体"/>
          <w:szCs w:val="18"/>
        </w:rPr>
        <w:t>分</w:t>
      </w:r>
      <w:r>
        <w:rPr>
          <w:rFonts w:ascii="微软雅黑" w:hAnsi="微软雅黑" w:eastAsia="微软雅黑" w:cs="微软雅黑"/>
          <w:color w:val="000000"/>
          <w:sz w:val="21"/>
          <w:szCs w:val="21"/>
        </w:rPr>
        <w:t>）</w:t>
      </w:r>
    </w:p>
    <w:p>
      <w:pPr>
        <w:pStyle w:val="50"/>
        <w:widowControl/>
        <w:spacing w:beforeAutospacing="0" w:afterAutospacing="0" w:line="450" w:lineRule="atLeast"/>
        <w:ind w:left="1260" w:hanging="420"/>
        <w:rPr>
          <w:rFonts w:ascii="微软雅黑" w:hAnsi="微软雅黑" w:eastAsia="微软雅黑" w:cs="微软雅黑"/>
          <w:color w:val="000000"/>
          <w:sz w:val="21"/>
          <w:szCs w:val="21"/>
        </w:rPr>
      </w:pPr>
      <w:r>
        <w:rPr>
          <w:rFonts w:ascii="微软雅黑" w:hAnsi="微软雅黑" w:eastAsia="微软雅黑" w:cs="微软雅黑"/>
          <w:color w:val="000000"/>
          <w:sz w:val="21"/>
          <w:szCs w:val="21"/>
        </w:rPr>
        <w:t>3、 分析数据相关性，符合工艺实际情况</w:t>
      </w:r>
      <w:r>
        <w:rPr>
          <w:rFonts w:hint="eastAsia" w:ascii="微软雅黑" w:hAnsi="微软雅黑" w:eastAsia="微软雅黑" w:cs="微软雅黑"/>
          <w:color w:val="000000"/>
          <w:sz w:val="21"/>
          <w:szCs w:val="21"/>
        </w:rPr>
        <w:t>，违反规定</w:t>
      </w:r>
      <w:r>
        <w:rPr>
          <w:rFonts w:ascii="微软雅黑" w:hAnsi="微软雅黑" w:eastAsia="微软雅黑" w:cs="微软雅黑"/>
          <w:color w:val="000000"/>
          <w:sz w:val="21"/>
          <w:szCs w:val="21"/>
        </w:rPr>
        <w:t>1</w:t>
      </w:r>
      <w:r>
        <w:rPr>
          <w:rFonts w:hint="eastAsia" w:ascii="微软雅黑" w:hAnsi="微软雅黑" w:eastAsia="微软雅黑" w:cs="微软雅黑"/>
          <w:color w:val="000000"/>
          <w:sz w:val="21"/>
          <w:szCs w:val="21"/>
        </w:rPr>
        <w:t>次扣</w:t>
      </w:r>
      <w:r>
        <w:rPr>
          <w:rFonts w:ascii="微软雅黑" w:hAnsi="微软雅黑" w:eastAsia="微软雅黑" w:cs="微软雅黑"/>
          <w:color w:val="000000"/>
          <w:sz w:val="21"/>
          <w:szCs w:val="21"/>
        </w:rPr>
        <w:t>（</w:t>
      </w:r>
      <w:r>
        <w:rPr>
          <w:rFonts w:hint="eastAsia" w:ascii="微软雅黑" w:hAnsi="微软雅黑" w:eastAsia="微软雅黑" w:cs="微软雅黑"/>
          <w:color w:val="000000"/>
          <w:sz w:val="21"/>
          <w:szCs w:val="21"/>
        </w:rPr>
        <w:t>8</w:t>
      </w:r>
      <w:r>
        <w:rPr>
          <w:rFonts w:hint="eastAsia" w:ascii="仿宋_GB2312" w:cs="黑体"/>
          <w:szCs w:val="18"/>
        </w:rPr>
        <w:t>分</w:t>
      </w:r>
      <w:r>
        <w:rPr>
          <w:rFonts w:ascii="微软雅黑" w:hAnsi="微软雅黑" w:eastAsia="微软雅黑" w:cs="微软雅黑"/>
          <w:color w:val="000000"/>
          <w:sz w:val="21"/>
          <w:szCs w:val="21"/>
        </w:rPr>
        <w:t>）</w:t>
      </w:r>
    </w:p>
    <w:p>
      <w:pPr>
        <w:pStyle w:val="50"/>
        <w:widowControl/>
        <w:spacing w:beforeAutospacing="0" w:afterAutospacing="0" w:line="450" w:lineRule="atLeast"/>
        <w:ind w:left="1260" w:hanging="420"/>
        <w:rPr>
          <w:rFonts w:ascii="微软雅黑" w:hAnsi="微软雅黑" w:eastAsia="微软雅黑" w:cs="微软雅黑"/>
          <w:color w:val="000000"/>
          <w:sz w:val="21"/>
          <w:szCs w:val="21"/>
        </w:rPr>
      </w:pPr>
      <w:r>
        <w:rPr>
          <w:rFonts w:ascii="微软雅黑" w:hAnsi="微软雅黑" w:eastAsia="微软雅黑" w:cs="微软雅黑"/>
          <w:color w:val="000000"/>
          <w:sz w:val="21"/>
          <w:szCs w:val="21"/>
        </w:rPr>
        <w:t>4、 定期开展培训工作，培训有记录、有签字、有培训图片</w:t>
      </w:r>
      <w:r>
        <w:rPr>
          <w:rFonts w:hint="eastAsia" w:ascii="微软雅黑" w:hAnsi="微软雅黑" w:eastAsia="微软雅黑" w:cs="微软雅黑"/>
          <w:color w:val="000000"/>
          <w:sz w:val="21"/>
          <w:szCs w:val="21"/>
        </w:rPr>
        <w:t>，未开展培训扣</w:t>
      </w:r>
      <w:r>
        <w:rPr>
          <w:rFonts w:ascii="微软雅黑" w:hAnsi="微软雅黑" w:eastAsia="微软雅黑" w:cs="微软雅黑"/>
          <w:color w:val="000000"/>
          <w:sz w:val="21"/>
          <w:szCs w:val="21"/>
        </w:rPr>
        <w:t>（</w:t>
      </w:r>
      <w:r>
        <w:rPr>
          <w:rFonts w:hint="eastAsia" w:ascii="微软雅黑" w:hAnsi="微软雅黑" w:eastAsia="微软雅黑" w:cs="微软雅黑"/>
          <w:color w:val="000000"/>
          <w:sz w:val="21"/>
          <w:szCs w:val="21"/>
        </w:rPr>
        <w:t>8</w:t>
      </w:r>
      <w:r>
        <w:rPr>
          <w:rFonts w:hint="eastAsia" w:ascii="仿宋_GB2312" w:cs="黑体"/>
          <w:szCs w:val="18"/>
        </w:rPr>
        <w:t>分</w:t>
      </w:r>
      <w:r>
        <w:rPr>
          <w:rFonts w:ascii="微软雅黑" w:hAnsi="微软雅黑" w:eastAsia="微软雅黑" w:cs="微软雅黑"/>
          <w:color w:val="000000"/>
          <w:sz w:val="21"/>
          <w:szCs w:val="21"/>
        </w:rPr>
        <w:t>）</w:t>
      </w:r>
    </w:p>
    <w:p>
      <w:pPr>
        <w:pStyle w:val="50"/>
        <w:widowControl/>
        <w:spacing w:beforeAutospacing="0" w:afterAutospacing="0" w:line="450" w:lineRule="atLeast"/>
        <w:ind w:left="1260" w:hanging="420"/>
        <w:rPr>
          <w:rFonts w:ascii="微软雅黑" w:hAnsi="微软雅黑" w:eastAsia="微软雅黑" w:cs="微软雅黑"/>
          <w:color w:val="000000"/>
          <w:sz w:val="21"/>
          <w:szCs w:val="21"/>
        </w:rPr>
      </w:pPr>
      <w:r>
        <w:rPr>
          <w:rFonts w:ascii="微软雅黑" w:hAnsi="微软雅黑" w:eastAsia="微软雅黑" w:cs="微软雅黑"/>
          <w:color w:val="000000"/>
          <w:sz w:val="21"/>
          <w:szCs w:val="21"/>
        </w:rPr>
        <w:t>5、 严格按照操作流程更换耗材、标液、试剂，过程有记录</w:t>
      </w:r>
      <w:r>
        <w:rPr>
          <w:rFonts w:hint="eastAsia" w:ascii="微软雅黑" w:hAnsi="微软雅黑" w:eastAsia="微软雅黑" w:cs="微软雅黑"/>
          <w:color w:val="000000"/>
          <w:sz w:val="21"/>
          <w:szCs w:val="21"/>
        </w:rPr>
        <w:t>，违反规定</w:t>
      </w:r>
      <w:r>
        <w:rPr>
          <w:rFonts w:ascii="微软雅黑" w:hAnsi="微软雅黑" w:eastAsia="微软雅黑" w:cs="微软雅黑"/>
          <w:color w:val="000000"/>
          <w:sz w:val="21"/>
          <w:szCs w:val="21"/>
        </w:rPr>
        <w:t>1</w:t>
      </w:r>
      <w:r>
        <w:rPr>
          <w:rFonts w:hint="eastAsia" w:ascii="微软雅黑" w:hAnsi="微软雅黑" w:eastAsia="微软雅黑" w:cs="微软雅黑"/>
          <w:color w:val="000000"/>
          <w:sz w:val="21"/>
          <w:szCs w:val="21"/>
        </w:rPr>
        <w:t>次扣</w:t>
      </w:r>
      <w:r>
        <w:rPr>
          <w:rFonts w:ascii="微软雅黑" w:hAnsi="微软雅黑" w:eastAsia="微软雅黑" w:cs="微软雅黑"/>
          <w:color w:val="000000"/>
          <w:sz w:val="21"/>
          <w:szCs w:val="21"/>
        </w:rPr>
        <w:t>（</w:t>
      </w:r>
      <w:r>
        <w:rPr>
          <w:rFonts w:hint="eastAsia" w:ascii="微软雅黑" w:hAnsi="微软雅黑" w:eastAsia="微软雅黑" w:cs="微软雅黑"/>
          <w:color w:val="000000"/>
          <w:sz w:val="21"/>
          <w:szCs w:val="21"/>
        </w:rPr>
        <w:t>10</w:t>
      </w:r>
      <w:r>
        <w:rPr>
          <w:rFonts w:hint="eastAsia" w:ascii="仿宋_GB2312" w:cs="黑体"/>
          <w:szCs w:val="18"/>
        </w:rPr>
        <w:t>分</w:t>
      </w:r>
      <w:r>
        <w:rPr>
          <w:rFonts w:ascii="微软雅黑" w:hAnsi="微软雅黑" w:eastAsia="微软雅黑" w:cs="微软雅黑"/>
          <w:color w:val="000000"/>
          <w:sz w:val="21"/>
          <w:szCs w:val="21"/>
        </w:rPr>
        <w:t>）</w:t>
      </w:r>
    </w:p>
    <w:p>
      <w:pPr>
        <w:pStyle w:val="50"/>
        <w:widowControl/>
        <w:spacing w:beforeAutospacing="0" w:afterAutospacing="0" w:line="450" w:lineRule="atLeast"/>
        <w:ind w:left="1260" w:hanging="420"/>
        <w:rPr>
          <w:rFonts w:ascii="微软雅黑" w:hAnsi="微软雅黑" w:eastAsia="微软雅黑" w:cs="微软雅黑"/>
          <w:color w:val="000000"/>
          <w:sz w:val="21"/>
          <w:szCs w:val="21"/>
        </w:rPr>
      </w:pPr>
      <w:r>
        <w:rPr>
          <w:rFonts w:ascii="微软雅黑" w:hAnsi="微软雅黑" w:eastAsia="微软雅黑" w:cs="微软雅黑"/>
          <w:color w:val="000000"/>
          <w:sz w:val="21"/>
          <w:szCs w:val="21"/>
        </w:rPr>
        <w:t>6、 是否规范按时填写相关记录</w:t>
      </w:r>
      <w:r>
        <w:rPr>
          <w:rFonts w:hint="eastAsia" w:ascii="微软雅黑" w:hAnsi="微软雅黑" w:eastAsia="微软雅黑" w:cs="微软雅黑"/>
          <w:color w:val="000000"/>
          <w:sz w:val="21"/>
          <w:szCs w:val="21"/>
        </w:rPr>
        <w:t>，违反规定</w:t>
      </w:r>
      <w:r>
        <w:rPr>
          <w:rFonts w:ascii="微软雅黑" w:hAnsi="微软雅黑" w:eastAsia="微软雅黑" w:cs="微软雅黑"/>
          <w:color w:val="000000"/>
          <w:sz w:val="21"/>
          <w:szCs w:val="21"/>
        </w:rPr>
        <w:t>1</w:t>
      </w:r>
      <w:r>
        <w:rPr>
          <w:rFonts w:hint="eastAsia" w:ascii="微软雅黑" w:hAnsi="微软雅黑" w:eastAsia="微软雅黑" w:cs="微软雅黑"/>
          <w:color w:val="000000"/>
          <w:sz w:val="21"/>
          <w:szCs w:val="21"/>
        </w:rPr>
        <w:t>次扣</w:t>
      </w:r>
      <w:r>
        <w:rPr>
          <w:rFonts w:ascii="微软雅黑" w:hAnsi="微软雅黑" w:eastAsia="微软雅黑" w:cs="微软雅黑"/>
          <w:color w:val="000000"/>
          <w:sz w:val="21"/>
          <w:szCs w:val="21"/>
        </w:rPr>
        <w:t xml:space="preserve">（ </w:t>
      </w:r>
      <w:r>
        <w:rPr>
          <w:rFonts w:hint="eastAsia" w:ascii="微软雅黑" w:hAnsi="微软雅黑" w:eastAsia="微软雅黑" w:cs="微软雅黑"/>
          <w:color w:val="000000"/>
          <w:sz w:val="21"/>
          <w:szCs w:val="21"/>
        </w:rPr>
        <w:t>8</w:t>
      </w:r>
      <w:r>
        <w:rPr>
          <w:rFonts w:hint="eastAsia" w:ascii="仿宋_GB2312" w:cs="黑体"/>
          <w:szCs w:val="18"/>
        </w:rPr>
        <w:t>分</w:t>
      </w:r>
      <w:r>
        <w:rPr>
          <w:rFonts w:ascii="微软雅黑" w:hAnsi="微软雅黑" w:eastAsia="微软雅黑" w:cs="微软雅黑"/>
          <w:color w:val="000000"/>
          <w:sz w:val="21"/>
          <w:szCs w:val="21"/>
        </w:rPr>
        <w:t>）</w:t>
      </w:r>
    </w:p>
    <w:p>
      <w:pPr>
        <w:pStyle w:val="50"/>
        <w:widowControl/>
        <w:spacing w:beforeAutospacing="0" w:afterAutospacing="0" w:line="450" w:lineRule="atLeast"/>
        <w:ind w:left="1260" w:hanging="420"/>
        <w:rPr>
          <w:rFonts w:ascii="微软雅黑" w:hAnsi="微软雅黑" w:eastAsia="微软雅黑" w:cs="微软雅黑"/>
          <w:color w:val="000000"/>
          <w:sz w:val="21"/>
          <w:szCs w:val="21"/>
        </w:rPr>
      </w:pPr>
      <w:r>
        <w:rPr>
          <w:rFonts w:ascii="微软雅黑" w:hAnsi="微软雅黑" w:eastAsia="微软雅黑" w:cs="微软雅黑"/>
          <w:color w:val="000000"/>
          <w:sz w:val="21"/>
          <w:szCs w:val="21"/>
        </w:rPr>
        <w:t>7、 按要求开展季度比对，符合环保要求</w:t>
      </w:r>
      <w:r>
        <w:rPr>
          <w:rFonts w:hint="eastAsia" w:ascii="微软雅黑" w:hAnsi="微软雅黑" w:eastAsia="微软雅黑" w:cs="微软雅黑"/>
          <w:color w:val="000000"/>
          <w:sz w:val="21"/>
          <w:szCs w:val="21"/>
        </w:rPr>
        <w:t>，违反规定</w:t>
      </w:r>
      <w:r>
        <w:rPr>
          <w:rFonts w:ascii="微软雅黑" w:hAnsi="微软雅黑" w:eastAsia="微软雅黑" w:cs="微软雅黑"/>
          <w:color w:val="000000"/>
          <w:sz w:val="21"/>
          <w:szCs w:val="21"/>
        </w:rPr>
        <w:t>1</w:t>
      </w:r>
      <w:r>
        <w:rPr>
          <w:rFonts w:hint="eastAsia" w:ascii="微软雅黑" w:hAnsi="微软雅黑" w:eastAsia="微软雅黑" w:cs="微软雅黑"/>
          <w:color w:val="000000"/>
          <w:sz w:val="21"/>
          <w:szCs w:val="21"/>
        </w:rPr>
        <w:t>次扣</w:t>
      </w:r>
      <w:r>
        <w:rPr>
          <w:rFonts w:ascii="微软雅黑" w:hAnsi="微软雅黑" w:eastAsia="微软雅黑" w:cs="微软雅黑"/>
          <w:color w:val="000000"/>
          <w:sz w:val="21"/>
          <w:szCs w:val="21"/>
        </w:rPr>
        <w:t xml:space="preserve">（ </w:t>
      </w:r>
      <w:r>
        <w:rPr>
          <w:rFonts w:hint="eastAsia" w:ascii="微软雅黑" w:hAnsi="微软雅黑" w:eastAsia="微软雅黑" w:cs="微软雅黑"/>
          <w:color w:val="000000"/>
          <w:sz w:val="21"/>
          <w:szCs w:val="21"/>
        </w:rPr>
        <w:t>8</w:t>
      </w:r>
      <w:r>
        <w:rPr>
          <w:rFonts w:hint="eastAsia" w:ascii="仿宋_GB2312" w:cs="黑体"/>
          <w:szCs w:val="18"/>
        </w:rPr>
        <w:t>分</w:t>
      </w:r>
      <w:r>
        <w:rPr>
          <w:rFonts w:ascii="微软雅黑" w:hAnsi="微软雅黑" w:eastAsia="微软雅黑" w:cs="微软雅黑"/>
          <w:color w:val="000000"/>
          <w:sz w:val="21"/>
          <w:szCs w:val="21"/>
        </w:rPr>
        <w:t>）</w:t>
      </w:r>
    </w:p>
    <w:p>
      <w:pPr>
        <w:pStyle w:val="50"/>
        <w:widowControl/>
        <w:spacing w:beforeAutospacing="0" w:afterAutospacing="0" w:line="450" w:lineRule="atLeast"/>
        <w:ind w:left="1260" w:hanging="4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8</w:t>
      </w:r>
      <w:r>
        <w:rPr>
          <w:rFonts w:ascii="微软雅黑" w:hAnsi="微软雅黑" w:eastAsia="微软雅黑" w:cs="微软雅黑"/>
          <w:color w:val="000000"/>
          <w:sz w:val="21"/>
          <w:szCs w:val="21"/>
        </w:rPr>
        <w:t>、废液交有危废经营许可证单位处置并开具转移联单</w:t>
      </w:r>
      <w:r>
        <w:rPr>
          <w:rFonts w:hint="eastAsia" w:ascii="微软雅黑" w:hAnsi="微软雅黑" w:eastAsia="微软雅黑" w:cs="微软雅黑"/>
          <w:color w:val="000000"/>
          <w:sz w:val="21"/>
          <w:szCs w:val="21"/>
        </w:rPr>
        <w:t>，违反规定</w:t>
      </w:r>
      <w:r>
        <w:rPr>
          <w:rFonts w:ascii="微软雅黑" w:hAnsi="微软雅黑" w:eastAsia="微软雅黑" w:cs="微软雅黑"/>
          <w:color w:val="000000"/>
          <w:sz w:val="21"/>
          <w:szCs w:val="21"/>
        </w:rPr>
        <w:t>1</w:t>
      </w:r>
      <w:r>
        <w:rPr>
          <w:rFonts w:hint="eastAsia" w:ascii="微软雅黑" w:hAnsi="微软雅黑" w:eastAsia="微软雅黑" w:cs="微软雅黑"/>
          <w:color w:val="000000"/>
          <w:sz w:val="21"/>
          <w:szCs w:val="21"/>
        </w:rPr>
        <w:t>次扣</w:t>
      </w:r>
      <w:r>
        <w:rPr>
          <w:rFonts w:ascii="微软雅黑" w:hAnsi="微软雅黑" w:eastAsia="微软雅黑" w:cs="微软雅黑"/>
          <w:color w:val="000000"/>
          <w:sz w:val="21"/>
          <w:szCs w:val="21"/>
        </w:rPr>
        <w:t>（</w:t>
      </w:r>
      <w:r>
        <w:rPr>
          <w:rFonts w:hint="eastAsia" w:ascii="微软雅黑" w:hAnsi="微软雅黑" w:eastAsia="微软雅黑" w:cs="微软雅黑"/>
          <w:color w:val="000000"/>
          <w:sz w:val="21"/>
          <w:szCs w:val="21"/>
        </w:rPr>
        <w:t>10</w:t>
      </w:r>
      <w:r>
        <w:rPr>
          <w:rFonts w:hint="eastAsia" w:ascii="仿宋_GB2312" w:cs="黑体"/>
          <w:szCs w:val="18"/>
        </w:rPr>
        <w:t>分</w:t>
      </w:r>
      <w:r>
        <w:rPr>
          <w:rFonts w:ascii="微软雅黑" w:hAnsi="微软雅黑" w:eastAsia="微软雅黑" w:cs="微软雅黑"/>
          <w:color w:val="000000"/>
          <w:sz w:val="21"/>
          <w:szCs w:val="21"/>
        </w:rPr>
        <w:t>）</w:t>
      </w:r>
    </w:p>
    <w:p>
      <w:pPr>
        <w:pStyle w:val="50"/>
        <w:widowControl/>
        <w:spacing w:beforeAutospacing="0" w:afterAutospacing="0" w:line="450" w:lineRule="atLeast"/>
        <w:ind w:left="1260" w:hanging="4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9</w:t>
      </w:r>
      <w:r>
        <w:rPr>
          <w:rFonts w:ascii="微软雅黑" w:hAnsi="微软雅黑" w:eastAsia="微软雅黑" w:cs="微软雅黑"/>
          <w:color w:val="000000"/>
          <w:sz w:val="21"/>
          <w:szCs w:val="21"/>
        </w:rPr>
        <w:t>、运营服务人员在维护服务名单内，且有上岗证。</w:t>
      </w:r>
      <w:r>
        <w:rPr>
          <w:rFonts w:hint="eastAsia" w:ascii="微软雅黑" w:hAnsi="微软雅黑" w:eastAsia="微软雅黑" w:cs="微软雅黑"/>
          <w:color w:val="000000"/>
          <w:sz w:val="21"/>
          <w:szCs w:val="21"/>
        </w:rPr>
        <w:t>违反规定</w:t>
      </w:r>
      <w:r>
        <w:rPr>
          <w:rFonts w:ascii="微软雅黑" w:hAnsi="微软雅黑" w:eastAsia="微软雅黑" w:cs="微软雅黑"/>
          <w:color w:val="000000"/>
          <w:sz w:val="21"/>
          <w:szCs w:val="21"/>
        </w:rPr>
        <w:t>1</w:t>
      </w:r>
      <w:r>
        <w:rPr>
          <w:rFonts w:hint="eastAsia" w:ascii="微软雅黑" w:hAnsi="微软雅黑" w:eastAsia="微软雅黑" w:cs="微软雅黑"/>
          <w:color w:val="000000"/>
          <w:sz w:val="21"/>
          <w:szCs w:val="21"/>
        </w:rPr>
        <w:t>次扣</w:t>
      </w:r>
      <w:r>
        <w:rPr>
          <w:rFonts w:ascii="微软雅黑" w:hAnsi="微软雅黑" w:eastAsia="微软雅黑" w:cs="微软雅黑"/>
          <w:color w:val="000000"/>
          <w:sz w:val="21"/>
          <w:szCs w:val="21"/>
        </w:rPr>
        <w:t>（</w:t>
      </w:r>
      <w:r>
        <w:rPr>
          <w:rFonts w:hint="eastAsia" w:ascii="微软雅黑" w:hAnsi="微软雅黑" w:eastAsia="微软雅黑" w:cs="微软雅黑"/>
          <w:color w:val="000000"/>
          <w:sz w:val="21"/>
          <w:szCs w:val="21"/>
        </w:rPr>
        <w:t>8</w:t>
      </w:r>
      <w:r>
        <w:rPr>
          <w:rFonts w:hint="eastAsia" w:ascii="仿宋_GB2312" w:cs="黑体"/>
          <w:szCs w:val="18"/>
        </w:rPr>
        <w:t>分</w:t>
      </w:r>
      <w:r>
        <w:rPr>
          <w:rFonts w:ascii="微软雅黑" w:hAnsi="微软雅黑" w:eastAsia="微软雅黑" w:cs="微软雅黑"/>
          <w:color w:val="000000"/>
          <w:sz w:val="21"/>
          <w:szCs w:val="21"/>
        </w:rPr>
        <w:t>）</w:t>
      </w:r>
    </w:p>
    <w:p>
      <w:pPr>
        <w:pStyle w:val="50"/>
        <w:widowControl/>
        <w:spacing w:beforeAutospacing="0" w:afterAutospacing="0" w:line="450" w:lineRule="atLeast"/>
        <w:ind w:left="1260" w:hanging="420"/>
        <w:rPr>
          <w:rFonts w:ascii="微软雅黑" w:hAnsi="微软雅黑" w:eastAsia="微软雅黑" w:cs="微软雅黑"/>
          <w:color w:val="000000"/>
          <w:sz w:val="21"/>
          <w:szCs w:val="21"/>
        </w:rPr>
      </w:pPr>
      <w:r>
        <w:rPr>
          <w:rFonts w:ascii="微软雅黑" w:hAnsi="微软雅黑" w:eastAsia="微软雅黑" w:cs="微软雅黑"/>
          <w:color w:val="000000"/>
          <w:sz w:val="21"/>
          <w:szCs w:val="21"/>
        </w:rPr>
        <w:t>1</w:t>
      </w:r>
      <w:r>
        <w:rPr>
          <w:rFonts w:hint="eastAsia" w:ascii="微软雅黑" w:hAnsi="微软雅黑" w:eastAsia="微软雅黑" w:cs="微软雅黑"/>
          <w:color w:val="000000"/>
          <w:sz w:val="21"/>
          <w:szCs w:val="21"/>
        </w:rPr>
        <w:t>0</w:t>
      </w:r>
      <w:r>
        <w:rPr>
          <w:rFonts w:ascii="微软雅黑" w:hAnsi="微软雅黑" w:eastAsia="微软雅黑" w:cs="微软雅黑"/>
          <w:color w:val="000000"/>
          <w:sz w:val="21"/>
          <w:szCs w:val="21"/>
        </w:rPr>
        <w:t>、按合同要求配备一名项目负责人对接、协调相关工作</w:t>
      </w:r>
      <w:r>
        <w:rPr>
          <w:rFonts w:hint="eastAsia" w:ascii="微软雅黑" w:hAnsi="微软雅黑" w:eastAsia="微软雅黑" w:cs="微软雅黑"/>
          <w:color w:val="000000"/>
          <w:sz w:val="21"/>
          <w:szCs w:val="21"/>
        </w:rPr>
        <w:t>，违反规定</w:t>
      </w:r>
      <w:r>
        <w:rPr>
          <w:rFonts w:ascii="微软雅黑" w:hAnsi="微软雅黑" w:eastAsia="微软雅黑" w:cs="微软雅黑"/>
          <w:color w:val="000000"/>
          <w:sz w:val="21"/>
          <w:szCs w:val="21"/>
        </w:rPr>
        <w:t>1</w:t>
      </w:r>
      <w:r>
        <w:rPr>
          <w:rFonts w:hint="eastAsia" w:ascii="微软雅黑" w:hAnsi="微软雅黑" w:eastAsia="微软雅黑" w:cs="微软雅黑"/>
          <w:color w:val="000000"/>
          <w:sz w:val="21"/>
          <w:szCs w:val="21"/>
        </w:rPr>
        <w:t>次扣</w:t>
      </w:r>
      <w:r>
        <w:rPr>
          <w:rFonts w:ascii="微软雅黑" w:hAnsi="微软雅黑" w:eastAsia="微软雅黑" w:cs="微软雅黑"/>
          <w:color w:val="000000"/>
          <w:sz w:val="21"/>
          <w:szCs w:val="21"/>
        </w:rPr>
        <w:t>（</w:t>
      </w:r>
      <w:r>
        <w:rPr>
          <w:rFonts w:hint="eastAsia" w:ascii="微软雅黑" w:hAnsi="微软雅黑" w:eastAsia="微软雅黑" w:cs="微软雅黑"/>
          <w:color w:val="000000"/>
          <w:sz w:val="21"/>
          <w:szCs w:val="21"/>
        </w:rPr>
        <w:t>6</w:t>
      </w:r>
      <w:r>
        <w:rPr>
          <w:rFonts w:hint="eastAsia" w:ascii="仿宋_GB2312" w:cs="黑体"/>
          <w:szCs w:val="18"/>
        </w:rPr>
        <w:t>分</w:t>
      </w:r>
      <w:r>
        <w:rPr>
          <w:rFonts w:ascii="微软雅黑" w:hAnsi="微软雅黑" w:eastAsia="微软雅黑" w:cs="微软雅黑"/>
          <w:color w:val="000000"/>
          <w:sz w:val="21"/>
          <w:szCs w:val="21"/>
        </w:rPr>
        <w:t>）</w:t>
      </w:r>
    </w:p>
    <w:p>
      <w:pPr>
        <w:pStyle w:val="50"/>
        <w:widowControl/>
        <w:spacing w:beforeAutospacing="0" w:afterAutospacing="0" w:line="450" w:lineRule="atLeast"/>
        <w:ind w:left="1260" w:hanging="420"/>
        <w:rPr>
          <w:rFonts w:ascii="仿宋_GB2312" w:hAnsi="仿宋_GB2312" w:cs="仿宋_GB2312"/>
          <w:szCs w:val="21"/>
          <w:lang w:bidi="ar"/>
        </w:rPr>
      </w:pPr>
      <w:r>
        <w:rPr>
          <w:rFonts w:hint="eastAsia" w:ascii="微软雅黑" w:hAnsi="微软雅黑" w:eastAsia="微软雅黑" w:cs="微软雅黑"/>
          <w:color w:val="000000"/>
          <w:sz w:val="21"/>
          <w:szCs w:val="21"/>
        </w:rPr>
        <w:t>11、</w:t>
      </w:r>
      <w:r>
        <w:rPr>
          <w:rFonts w:hint="eastAsia" w:ascii="仿宋_GB2312" w:hAnsi="仿宋_GB2312" w:cs="仿宋_GB2312"/>
          <w:szCs w:val="21"/>
          <w:lang w:bidi="ar"/>
        </w:rPr>
        <w:t>设备间卫生，脏乱差，</w:t>
      </w:r>
      <w:r>
        <w:rPr>
          <w:rFonts w:ascii="微软雅黑" w:hAnsi="微软雅黑" w:eastAsia="微软雅黑" w:cs="微软雅黑"/>
          <w:color w:val="000000"/>
          <w:sz w:val="21"/>
          <w:szCs w:val="21"/>
        </w:rPr>
        <w:t xml:space="preserve"> 1</w:t>
      </w:r>
      <w:r>
        <w:rPr>
          <w:rFonts w:hint="eastAsia" w:ascii="微软雅黑" w:hAnsi="微软雅黑" w:eastAsia="微软雅黑" w:cs="微软雅黑"/>
          <w:color w:val="000000"/>
          <w:sz w:val="21"/>
          <w:szCs w:val="21"/>
        </w:rPr>
        <w:t>次扣</w:t>
      </w:r>
      <w:r>
        <w:rPr>
          <w:rFonts w:hint="eastAsia" w:ascii="仿宋_GB2312" w:hAnsi="仿宋_GB2312" w:cs="仿宋_GB2312"/>
          <w:szCs w:val="21"/>
          <w:lang w:bidi="ar"/>
        </w:rPr>
        <w:t>（8</w:t>
      </w:r>
      <w:r>
        <w:rPr>
          <w:rFonts w:hint="eastAsia" w:ascii="仿宋_GB2312" w:cs="黑体"/>
          <w:szCs w:val="18"/>
        </w:rPr>
        <w:t>分</w:t>
      </w:r>
      <w:r>
        <w:rPr>
          <w:rFonts w:hint="eastAsia" w:ascii="仿宋_GB2312" w:hAnsi="仿宋_GB2312" w:cs="仿宋_GB2312"/>
          <w:szCs w:val="21"/>
          <w:lang w:bidi="ar"/>
        </w:rPr>
        <w:t>）</w:t>
      </w:r>
    </w:p>
    <w:p>
      <w:pPr>
        <w:pStyle w:val="50"/>
        <w:widowControl/>
        <w:spacing w:beforeAutospacing="0" w:afterAutospacing="0" w:line="450" w:lineRule="atLeast"/>
        <w:ind w:left="1260" w:hanging="420"/>
        <w:rPr>
          <w:rFonts w:ascii="微软雅黑" w:hAnsi="微软雅黑" w:eastAsia="微软雅黑" w:cs="微软雅黑"/>
          <w:color w:val="000000"/>
          <w:sz w:val="21"/>
          <w:szCs w:val="21"/>
        </w:rPr>
      </w:pPr>
      <w:r>
        <w:rPr>
          <w:rFonts w:hint="eastAsia" w:ascii="仿宋_GB2312" w:cs="黑体"/>
          <w:szCs w:val="18"/>
        </w:rPr>
        <w:t>12、操作人员在使用水电的时候必须做到节约用水、用电，做到人走灯灭，不使用器具时关闭电源和用水。发现浪费水或电</w:t>
      </w:r>
      <w:r>
        <w:rPr>
          <w:rFonts w:ascii="仿宋_GB2312" w:cs="黑体"/>
          <w:szCs w:val="18"/>
        </w:rPr>
        <w:t>1</w:t>
      </w:r>
      <w:r>
        <w:rPr>
          <w:rFonts w:hint="eastAsia" w:ascii="仿宋_GB2312" w:cs="黑体"/>
          <w:szCs w:val="18"/>
        </w:rPr>
        <w:t>次扣（8分）</w:t>
      </w:r>
    </w:p>
    <w:p>
      <w:pPr>
        <w:rPr>
          <w:rFonts w:eastAsia="黑体"/>
          <w:color w:val="0000FF"/>
        </w:rPr>
      </w:pPr>
      <w:r>
        <w:rPr>
          <w:rFonts w:hint="eastAsia" w:ascii="黑体" w:hAnsi="黑体" w:eastAsia="黑体"/>
          <w:b/>
          <w:color w:val="0000FF"/>
          <w:kern w:val="0"/>
          <w:sz w:val="28"/>
          <w:szCs w:val="28"/>
        </w:rPr>
        <w:t>十一.考核分值（总分值100分）</w:t>
      </w:r>
    </w:p>
    <w:p>
      <w:pPr>
        <w:ind w:firstLine="480"/>
        <w:rPr>
          <w:color w:val="0000FF"/>
        </w:rPr>
      </w:pPr>
      <w:r>
        <w:rPr>
          <w:rFonts w:hint="eastAsia"/>
          <w:color w:val="0000FF"/>
        </w:rPr>
        <w:t>执行合同情况的监督检查实行扣分制：每月考核标准扣分数合计在10分以内的为合格，考核标准扣分数合计在10—19分的扣项目承包单位2000元承包经费，20—29分的扣项目承包单位5000元承包经费，30分以上或累计3月扣分在20-29分的扣完当月全部自动监测站承包费，并有权解除合同。</w:t>
      </w:r>
    </w:p>
    <w:p>
      <w:pPr>
        <w:ind w:firstLine="480"/>
      </w:pPr>
      <w:r>
        <w:rPr>
          <w:rFonts w:hint="eastAsia"/>
        </w:rPr>
        <w:t>（一）每月不定期对医院自动监测站、污水在线监测运营外包项目进行检查，对有质量的地方以现场照片作依据通知服务商，并将检查情况汇总报分管领导，按检查结果</w:t>
      </w:r>
      <w:r>
        <w:rPr>
          <w:rFonts w:hint="eastAsia" w:cs="宋体"/>
          <w:kern w:val="0"/>
        </w:rPr>
        <w:t>扣除当月考核罚款数再拨付给服务商。</w:t>
      </w:r>
      <w:r>
        <w:rPr>
          <w:rFonts w:hint="eastAsia"/>
        </w:rPr>
        <w:t xml:space="preserve">                 </w:t>
      </w:r>
    </w:p>
    <w:p>
      <w:pPr>
        <w:ind w:firstLine="480"/>
      </w:pPr>
      <w:r>
        <w:rPr>
          <w:rFonts w:hint="eastAsia"/>
        </w:rPr>
        <w:t>（二）合同终止事由</w:t>
      </w:r>
    </w:p>
    <w:p>
      <w:pPr>
        <w:ind w:firstLine="480"/>
      </w:pPr>
      <w:r>
        <w:rPr>
          <w:rFonts w:hint="eastAsia"/>
        </w:rPr>
        <w:t>1、违反管理规定，造成重大伤亡或重大损失；</w:t>
      </w:r>
    </w:p>
    <w:p>
      <w:pPr>
        <w:ind w:firstLine="480"/>
      </w:pPr>
      <w:r>
        <w:rPr>
          <w:rFonts w:hint="eastAsia"/>
        </w:rPr>
        <w:t>2、因管理不善造成恶劣影响；</w:t>
      </w:r>
    </w:p>
    <w:p>
      <w:pPr>
        <w:ind w:firstLine="480"/>
      </w:pPr>
      <w:r>
        <w:rPr>
          <w:rFonts w:hint="eastAsia"/>
        </w:rPr>
        <w:t>3、擅自将合同转包、分包给第三者；</w:t>
      </w:r>
    </w:p>
    <w:p>
      <w:pPr>
        <w:ind w:firstLine="480"/>
      </w:pPr>
      <w:r>
        <w:rPr>
          <w:rFonts w:hint="eastAsia"/>
        </w:rPr>
        <w:t>4、违反劳动法或其他相关法规，造成恶劣影响；</w:t>
      </w:r>
    </w:p>
    <w:p>
      <w:pPr>
        <w:ind w:firstLine="480"/>
      </w:pPr>
      <w:r>
        <w:rPr>
          <w:rFonts w:hint="eastAsia"/>
        </w:rPr>
        <w:t>5、有弄虚作假及其不正当行为；</w:t>
      </w:r>
    </w:p>
    <w:p>
      <w:pPr>
        <w:ind w:firstLine="480"/>
      </w:pPr>
      <w:r>
        <w:rPr>
          <w:rFonts w:hint="eastAsia"/>
        </w:rPr>
        <w:t>6、在重大接待、突发事件处置工作中不力造成恶劣影响；</w:t>
      </w:r>
    </w:p>
    <w:p>
      <w:pPr>
        <w:spacing w:line="560" w:lineRule="exact"/>
        <w:rPr>
          <w:rFonts w:ascii="宋体" w:hAnsi="宋体" w:cs="宋体"/>
          <w:kern w:val="0"/>
          <w:sz w:val="28"/>
          <w:szCs w:val="28"/>
        </w:rPr>
      </w:pPr>
      <w:r>
        <w:rPr>
          <w:rFonts w:hint="eastAsia" w:ascii="宋体" w:hAnsi="宋体" w:cs="宋体"/>
          <w:kern w:val="0"/>
          <w:sz w:val="28"/>
          <w:szCs w:val="28"/>
        </w:rPr>
        <w:t>十二、付款方式</w:t>
      </w:r>
    </w:p>
    <w:p>
      <w:pPr>
        <w:snapToGrid w:val="0"/>
        <w:spacing w:line="400" w:lineRule="exact"/>
        <w:ind w:firstLine="560" w:firstLineChars="200"/>
        <w:rPr>
          <w:rFonts w:ascii="方正仿宋_GBK" w:hAnsi="宋体" w:eastAsia="方正仿宋_GBK" w:cs="宋体"/>
          <w:color w:val="000000"/>
          <w:kern w:val="0"/>
          <w:sz w:val="24"/>
        </w:rPr>
      </w:pPr>
      <w:r>
        <w:rPr>
          <w:rFonts w:hint="eastAsia" w:ascii="方正仿宋_GBK" w:hAnsi="宋体" w:eastAsia="方正仿宋_GBK"/>
          <w:color w:val="000000" w:themeColor="text1"/>
          <w:sz w:val="28"/>
          <w:szCs w:val="28"/>
        </w:rPr>
        <w:t>工作满一月后，采购人按照合同约定对成交人工作进行考核，并按考核结果计算。成交人按考核确</w:t>
      </w:r>
      <w:r>
        <w:rPr>
          <w:rFonts w:hint="eastAsia" w:ascii="方正仿宋_GBK" w:hAnsi="宋体" w:eastAsia="方正仿宋_GBK"/>
          <w:color w:val="252525" w:themeColor="text1" w:themeTint="D9"/>
          <w:sz w:val="28"/>
          <w:szCs w:val="28"/>
        </w:rPr>
        <w:t>定的自动监测站设施运营管理服务</w:t>
      </w:r>
      <w:r>
        <w:rPr>
          <w:rFonts w:hint="eastAsia" w:ascii="方正仿宋_GBK" w:hAnsi="宋体" w:eastAsia="方正仿宋_GBK"/>
          <w:color w:val="000000" w:themeColor="text1"/>
          <w:sz w:val="28"/>
          <w:szCs w:val="28"/>
        </w:rPr>
        <w:t>金额出具有效发票，采购人收到相关票据及依据后30个工作日内支付办理上月结算，并按照程序办理上月服务费用支付手续</w:t>
      </w:r>
      <w:r>
        <w:rPr>
          <w:rFonts w:hint="eastAsia" w:ascii="方正仿宋_GBK" w:hAnsi="宋体" w:eastAsia="方正仿宋_GBK" w:cs="宋体"/>
          <w:color w:val="000000"/>
          <w:kern w:val="0"/>
          <w:sz w:val="24"/>
        </w:rPr>
        <w:t>。</w:t>
      </w:r>
    </w:p>
    <w:p>
      <w:pPr>
        <w:spacing w:line="560" w:lineRule="exact"/>
        <w:ind w:firstLine="140" w:firstLineChars="50"/>
        <w:rPr>
          <w:rFonts w:ascii="宋体" w:hAnsi="宋体" w:cs="宋体"/>
          <w:kern w:val="0"/>
          <w:sz w:val="28"/>
          <w:szCs w:val="28"/>
        </w:rPr>
      </w:pPr>
      <w:r>
        <w:rPr>
          <w:rFonts w:hint="eastAsia" w:ascii="宋体" w:hAnsi="宋体" w:cs="宋体"/>
          <w:kern w:val="0"/>
          <w:sz w:val="28"/>
          <w:szCs w:val="28"/>
        </w:rPr>
        <w:t>十三、甲方的权利和义务</w:t>
      </w:r>
    </w:p>
    <w:p>
      <w:pPr>
        <w:spacing w:line="560" w:lineRule="exact"/>
        <w:ind w:firstLine="140" w:firstLineChars="50"/>
        <w:rPr>
          <w:rFonts w:ascii="方正仿宋_GBK" w:hAnsi="宋体" w:eastAsia="方正仿宋_GBK"/>
          <w:color w:val="000000"/>
          <w:sz w:val="28"/>
          <w:szCs w:val="28"/>
        </w:rPr>
      </w:pPr>
      <w:r>
        <w:rPr>
          <w:rFonts w:hint="eastAsia" w:ascii="方正仿宋_GBK" w:hAnsi="宋体" w:eastAsia="方正仿宋_GBK"/>
          <w:color w:val="000000"/>
          <w:sz w:val="28"/>
          <w:szCs w:val="28"/>
        </w:rPr>
        <w:t>（1）对乙方的江北区中医院自动监测站在线监测设备采购及运维服务项目外包服务等工作随时进行监督、检查；并有权进行协调和奖惩处理。</w:t>
      </w:r>
    </w:p>
    <w:p>
      <w:pPr>
        <w:spacing w:line="560" w:lineRule="exact"/>
        <w:ind w:firstLine="140" w:firstLineChars="50"/>
        <w:rPr>
          <w:rFonts w:ascii="方正仿宋_GBK" w:hAnsi="宋体" w:eastAsia="方正仿宋_GBK"/>
          <w:color w:val="000000"/>
          <w:sz w:val="28"/>
          <w:szCs w:val="28"/>
        </w:rPr>
      </w:pPr>
      <w:r>
        <w:rPr>
          <w:rFonts w:hint="eastAsia" w:ascii="方正仿宋_GBK" w:hAnsi="宋体" w:eastAsia="方正仿宋_GBK"/>
          <w:color w:val="000000"/>
          <w:sz w:val="28"/>
          <w:szCs w:val="28"/>
        </w:rPr>
        <w:t>（2）向乙方提供相关工作信息、消毒防护指导，在工作沟通方面提供支持。</w:t>
      </w:r>
    </w:p>
    <w:p>
      <w:pPr>
        <w:spacing w:line="560" w:lineRule="exact"/>
        <w:ind w:firstLine="140" w:firstLineChars="50"/>
        <w:rPr>
          <w:rFonts w:ascii="方正仿宋_GBK" w:hAnsi="宋体" w:eastAsia="方正仿宋_GBK"/>
          <w:color w:val="000000"/>
          <w:sz w:val="28"/>
          <w:szCs w:val="28"/>
        </w:rPr>
      </w:pPr>
      <w:r>
        <w:rPr>
          <w:rFonts w:hint="eastAsia" w:ascii="方正仿宋_GBK" w:hAnsi="宋体" w:eastAsia="方正仿宋_GBK"/>
          <w:color w:val="000000"/>
          <w:sz w:val="28"/>
          <w:szCs w:val="28"/>
        </w:rPr>
        <w:t>（3）教育本单位人员遵守甲、乙双方签订的服务合同的相关工作内容，国家、行业、专项工作法律、法规、地方性规范。</w:t>
      </w:r>
    </w:p>
    <w:p>
      <w:pPr>
        <w:spacing w:line="560" w:lineRule="exact"/>
        <w:ind w:firstLine="140" w:firstLineChars="50"/>
        <w:rPr>
          <w:rFonts w:ascii="方正仿宋_GBK" w:hAnsi="宋体" w:eastAsia="方正仿宋_GBK"/>
          <w:color w:val="000000"/>
          <w:sz w:val="28"/>
          <w:szCs w:val="28"/>
        </w:rPr>
      </w:pPr>
      <w:r>
        <w:rPr>
          <w:rFonts w:hint="eastAsia" w:ascii="方正仿宋_GBK" w:hAnsi="宋体" w:eastAsia="方正仿宋_GBK"/>
          <w:color w:val="000000"/>
          <w:sz w:val="28"/>
          <w:szCs w:val="28"/>
        </w:rPr>
        <w:t>（4）甲方管理人员可随时监督检查乙方的管理工作、指导和协调乙方完成服务。</w:t>
      </w:r>
    </w:p>
    <w:p>
      <w:pPr>
        <w:spacing w:line="560" w:lineRule="exact"/>
        <w:ind w:firstLine="140" w:firstLineChars="50"/>
        <w:rPr>
          <w:rFonts w:ascii="方正仿宋_GBK" w:hAnsi="宋体" w:eastAsia="方正仿宋_GBK"/>
          <w:color w:val="000000"/>
          <w:sz w:val="28"/>
          <w:szCs w:val="28"/>
        </w:rPr>
      </w:pPr>
      <w:r>
        <w:rPr>
          <w:rFonts w:hint="eastAsia" w:ascii="方正仿宋_GBK" w:hAnsi="宋体" w:eastAsia="方正仿宋_GBK"/>
          <w:color w:val="000000"/>
          <w:sz w:val="28"/>
          <w:szCs w:val="28"/>
        </w:rPr>
        <w:t>（5）对乙方工作人员严重违反相关合同要求，不能胜任相关工作的，甲方有权要求乙方进行更换。</w:t>
      </w:r>
    </w:p>
    <w:p>
      <w:pPr>
        <w:spacing w:line="560" w:lineRule="exact"/>
        <w:ind w:firstLine="140" w:firstLineChars="50"/>
        <w:rPr>
          <w:rFonts w:ascii="方正仿宋_GBK" w:hAnsi="宋体" w:eastAsia="方正仿宋_GBK"/>
          <w:color w:val="252525" w:themeColor="text1" w:themeTint="D9"/>
          <w:sz w:val="28"/>
          <w:szCs w:val="28"/>
        </w:rPr>
      </w:pPr>
      <w:r>
        <w:rPr>
          <w:rFonts w:hint="eastAsia" w:ascii="方正仿宋_GBK" w:hAnsi="宋体" w:eastAsia="方正仿宋_GBK"/>
          <w:color w:val="000000"/>
          <w:sz w:val="28"/>
          <w:szCs w:val="28"/>
        </w:rPr>
        <w:t>（6）乙方按甲方要</w:t>
      </w:r>
      <w:r>
        <w:rPr>
          <w:rFonts w:hint="eastAsia" w:ascii="方正仿宋_GBK" w:hAnsi="宋体" w:eastAsia="方正仿宋_GBK"/>
          <w:color w:val="252525" w:themeColor="text1" w:themeTint="D9"/>
          <w:sz w:val="28"/>
          <w:szCs w:val="28"/>
        </w:rPr>
        <w:t>求完成自动监测站设施运营管理服务工作，甲方按时拨付自动监测站设施运营管理服务费用。</w:t>
      </w:r>
      <w:r>
        <w:rPr>
          <w:rFonts w:ascii="方正仿宋_GBK" w:hAnsi="宋体" w:eastAsia="方正仿宋_GBK"/>
          <w:color w:val="252525" w:themeColor="text1" w:themeTint="D9"/>
          <w:sz w:val="28"/>
          <w:szCs w:val="28"/>
        </w:rPr>
        <w:t> </w:t>
      </w:r>
    </w:p>
    <w:p>
      <w:pPr>
        <w:spacing w:line="560" w:lineRule="exact"/>
        <w:ind w:firstLine="280" w:firstLineChars="100"/>
        <w:rPr>
          <w:rFonts w:ascii="宋体" w:hAnsi="宋体" w:cs="宋体"/>
          <w:kern w:val="0"/>
          <w:sz w:val="28"/>
          <w:szCs w:val="28"/>
        </w:rPr>
      </w:pPr>
      <w:r>
        <w:rPr>
          <w:rFonts w:hint="eastAsia" w:ascii="宋体" w:hAnsi="宋体" w:cs="宋体"/>
          <w:kern w:val="0"/>
          <w:sz w:val="28"/>
          <w:szCs w:val="28"/>
        </w:rPr>
        <w:t>十四、乙方的权利和义务</w:t>
      </w:r>
    </w:p>
    <w:p>
      <w:pPr>
        <w:spacing w:line="560" w:lineRule="exact"/>
        <w:ind w:firstLine="140" w:firstLineChars="50"/>
        <w:rPr>
          <w:rFonts w:ascii="方正仿宋_GBK" w:hAnsi="宋体" w:eastAsia="方正仿宋_GBK"/>
          <w:color w:val="000000"/>
          <w:sz w:val="28"/>
          <w:szCs w:val="28"/>
        </w:rPr>
      </w:pPr>
      <w:r>
        <w:rPr>
          <w:rFonts w:hint="eastAsia" w:ascii="方正仿宋_GBK" w:hAnsi="宋体" w:eastAsia="方正仿宋_GBK"/>
          <w:color w:val="000000"/>
          <w:sz w:val="28"/>
          <w:szCs w:val="28"/>
        </w:rPr>
        <w:t>（1）严格遵守合同条款，遵守甲方相关的规章制度。</w:t>
      </w:r>
    </w:p>
    <w:p>
      <w:pPr>
        <w:spacing w:line="560" w:lineRule="exact"/>
        <w:ind w:firstLine="140" w:firstLineChars="50"/>
        <w:rPr>
          <w:rFonts w:ascii="方正仿宋_GBK" w:hAnsi="宋体" w:eastAsia="方正仿宋_GBK"/>
          <w:color w:val="000000"/>
          <w:sz w:val="28"/>
          <w:szCs w:val="28"/>
        </w:rPr>
      </w:pPr>
      <w:r>
        <w:rPr>
          <w:rFonts w:hint="eastAsia" w:ascii="方正仿宋_GBK" w:hAnsi="宋体" w:eastAsia="方正仿宋_GBK"/>
          <w:color w:val="000000"/>
          <w:sz w:val="28"/>
          <w:szCs w:val="28"/>
        </w:rPr>
        <w:t>（2）承担员工各种的劳动福利、劳动保险、医疗保险、劳动安全等政府颁布的相关法律、法规责任。</w:t>
      </w:r>
    </w:p>
    <w:p>
      <w:pPr>
        <w:spacing w:line="560" w:lineRule="exact"/>
        <w:rPr>
          <w:rFonts w:ascii="方正仿宋_GBK" w:hAnsi="宋体" w:eastAsia="方正仿宋_GBK"/>
          <w:color w:val="000000"/>
          <w:sz w:val="28"/>
          <w:szCs w:val="28"/>
        </w:rPr>
      </w:pPr>
      <w:r>
        <w:rPr>
          <w:rFonts w:hint="eastAsia" w:ascii="方正仿宋_GBK" w:hAnsi="宋体" w:eastAsia="方正仿宋_GBK"/>
          <w:color w:val="000000"/>
          <w:sz w:val="28"/>
          <w:szCs w:val="28"/>
        </w:rPr>
        <w:t>（3）乙方员工统一规范着装，衣帽整洁、文明礼貌、佩证上岗。</w:t>
      </w:r>
    </w:p>
    <w:p>
      <w:pPr>
        <w:spacing w:line="560" w:lineRule="exact"/>
        <w:rPr>
          <w:rFonts w:ascii="方正仿宋_GBK" w:hAnsi="宋体" w:eastAsia="方正仿宋_GBK"/>
          <w:color w:val="000000"/>
          <w:sz w:val="28"/>
          <w:szCs w:val="28"/>
        </w:rPr>
      </w:pPr>
      <w:r>
        <w:rPr>
          <w:rFonts w:hint="eastAsia" w:ascii="方正仿宋_GBK" w:hAnsi="宋体" w:eastAsia="方正仿宋_GBK"/>
          <w:color w:val="000000"/>
          <w:sz w:val="28"/>
          <w:szCs w:val="28"/>
        </w:rPr>
        <w:t>（4）教育规范员工文明服务，严格执行制定的有关管理制度。</w:t>
      </w:r>
    </w:p>
    <w:p>
      <w:pPr>
        <w:spacing w:line="560" w:lineRule="exact"/>
        <w:rPr>
          <w:rFonts w:ascii="方正仿宋_GBK" w:hAnsi="宋体" w:eastAsia="方正仿宋_GBK"/>
          <w:color w:val="000000"/>
          <w:sz w:val="28"/>
          <w:szCs w:val="28"/>
        </w:rPr>
      </w:pPr>
      <w:r>
        <w:rPr>
          <w:rFonts w:hint="eastAsia" w:ascii="方正仿宋_GBK" w:hAnsi="宋体" w:eastAsia="方正仿宋_GBK"/>
          <w:color w:val="000000"/>
          <w:sz w:val="28"/>
          <w:szCs w:val="28"/>
        </w:rPr>
        <w:t>（5）乙方每月向甲方管理部门进行客户意见反馈，及时采纳甲方的正确建议。各种工作记录表格、工作单据、月统计报表必须于次月</w:t>
      </w:r>
      <w:r>
        <w:rPr>
          <w:rFonts w:ascii="方正仿宋_GBK" w:hAnsi="宋体" w:eastAsia="方正仿宋_GBK"/>
          <w:color w:val="000000"/>
          <w:sz w:val="28"/>
          <w:szCs w:val="28"/>
        </w:rPr>
        <w:t>10</w:t>
      </w:r>
      <w:r>
        <w:rPr>
          <w:rFonts w:hint="eastAsia" w:ascii="方正仿宋_GBK" w:hAnsi="宋体" w:eastAsia="方正仿宋_GBK"/>
          <w:color w:val="000000"/>
          <w:sz w:val="28"/>
          <w:szCs w:val="28"/>
        </w:rPr>
        <w:t>日前送交甲方主管部门汇总。</w:t>
      </w:r>
    </w:p>
    <w:p>
      <w:pPr>
        <w:spacing w:line="560" w:lineRule="exact"/>
        <w:ind w:firstLine="140" w:firstLineChars="50"/>
        <w:rPr>
          <w:rFonts w:ascii="方正仿宋_GBK" w:hAnsi="宋体" w:eastAsia="方正仿宋_GBK"/>
          <w:color w:val="000000"/>
          <w:sz w:val="28"/>
          <w:szCs w:val="28"/>
        </w:rPr>
      </w:pPr>
      <w:r>
        <w:rPr>
          <w:rFonts w:hint="eastAsia" w:ascii="方正仿宋_GBK" w:hAnsi="宋体" w:eastAsia="方正仿宋_GBK"/>
          <w:color w:val="000000"/>
          <w:sz w:val="28"/>
          <w:szCs w:val="28"/>
        </w:rPr>
        <w:t>（6）乙方员工应接受甲方相关人员的业务指导和工作质量监督。</w:t>
      </w:r>
    </w:p>
    <w:p>
      <w:pPr>
        <w:spacing w:line="560" w:lineRule="exact"/>
        <w:ind w:firstLine="140" w:firstLineChars="50"/>
        <w:rPr>
          <w:rFonts w:ascii="方正仿宋_GBK" w:hAnsi="宋体" w:eastAsia="方正仿宋_GBK"/>
          <w:color w:val="000000"/>
          <w:sz w:val="28"/>
          <w:szCs w:val="28"/>
        </w:rPr>
      </w:pPr>
      <w:r>
        <w:rPr>
          <w:rFonts w:hint="eastAsia" w:ascii="方正仿宋_GBK" w:hAnsi="宋体" w:eastAsia="方正仿宋_GBK"/>
          <w:color w:val="000000"/>
          <w:sz w:val="28"/>
          <w:szCs w:val="28"/>
        </w:rPr>
        <w:t>（7）乙方工作人员在院内拾到遗失物品应立即上交甲方管理部门。</w:t>
      </w:r>
    </w:p>
    <w:p>
      <w:pPr>
        <w:spacing w:line="560" w:lineRule="exact"/>
        <w:ind w:firstLine="140" w:firstLineChars="50"/>
        <w:rPr>
          <w:rFonts w:ascii="方正仿宋_GBK" w:hAnsi="宋体" w:eastAsia="方正仿宋_GBK"/>
          <w:color w:val="000000"/>
          <w:sz w:val="28"/>
          <w:szCs w:val="28"/>
        </w:rPr>
      </w:pPr>
      <w:r>
        <w:rPr>
          <w:rFonts w:hint="eastAsia" w:ascii="方正仿宋_GBK" w:hAnsi="宋体" w:eastAsia="方正仿宋_GBK"/>
          <w:color w:val="000000"/>
          <w:sz w:val="28"/>
          <w:szCs w:val="28"/>
        </w:rPr>
        <w:t>（8）乙方应积极配合甲方遇公共卫生事件、应急事件和重大检查等各项工作，保证甲方的各项工作的开展。</w:t>
      </w:r>
    </w:p>
    <w:p>
      <w:pPr>
        <w:spacing w:line="560" w:lineRule="exact"/>
        <w:ind w:firstLine="140" w:firstLineChars="50"/>
        <w:rPr>
          <w:rFonts w:ascii="方正仿宋_GBK" w:hAnsi="宋体" w:eastAsia="方正仿宋_GBK"/>
          <w:color w:val="000000"/>
          <w:sz w:val="28"/>
          <w:szCs w:val="28"/>
        </w:rPr>
      </w:pPr>
      <w:r>
        <w:rPr>
          <w:rFonts w:hint="eastAsia" w:ascii="方正仿宋_GBK" w:hAnsi="宋体" w:eastAsia="方正仿宋_GBK"/>
          <w:color w:val="000000"/>
          <w:sz w:val="28"/>
          <w:szCs w:val="28"/>
        </w:rPr>
        <w:t>（9）乙方必须随时提供特殊工种所需要人员上岗证备查，若因乙方无法及时提供相关证件所导致的处罚由乙方全额承担。</w:t>
      </w:r>
    </w:p>
    <w:p>
      <w:pPr>
        <w:spacing w:line="560" w:lineRule="exact"/>
        <w:ind w:firstLine="560" w:firstLineChars="200"/>
        <w:rPr>
          <w:rFonts w:ascii="宋体" w:hAnsi="宋体" w:cs="宋体"/>
          <w:color w:val="252525" w:themeColor="text1" w:themeTint="D9"/>
          <w:kern w:val="0"/>
          <w:sz w:val="28"/>
          <w:szCs w:val="28"/>
        </w:rPr>
      </w:pPr>
      <w:r>
        <w:rPr>
          <w:rFonts w:hint="eastAsia" w:ascii="宋体" w:hAnsi="宋体" w:cs="宋体"/>
          <w:color w:val="252525" w:themeColor="text1" w:themeTint="D9"/>
          <w:kern w:val="0"/>
          <w:sz w:val="28"/>
          <w:szCs w:val="28"/>
        </w:rPr>
        <w:t>十五、其他事项</w:t>
      </w:r>
    </w:p>
    <w:p>
      <w:pPr>
        <w:spacing w:line="560" w:lineRule="exact"/>
        <w:ind w:firstLine="560" w:firstLineChars="200"/>
        <w:rPr>
          <w:rFonts w:ascii="方正仿宋_GBK" w:hAnsi="宋体" w:eastAsia="方正仿宋_GBK"/>
          <w:color w:val="000000"/>
          <w:sz w:val="28"/>
          <w:szCs w:val="28"/>
        </w:rPr>
      </w:pPr>
      <w:r>
        <w:rPr>
          <w:rFonts w:ascii="方正仿宋_GBK" w:hAnsi="宋体" w:eastAsia="方正仿宋_GBK"/>
          <w:color w:val="000000"/>
          <w:sz w:val="28"/>
          <w:szCs w:val="28"/>
        </w:rPr>
        <w:t>1</w:t>
      </w:r>
      <w:r>
        <w:rPr>
          <w:rFonts w:hint="eastAsia" w:ascii="方正仿宋_GBK" w:hAnsi="宋体" w:eastAsia="方正仿宋_GBK"/>
          <w:color w:val="000000"/>
          <w:sz w:val="28"/>
          <w:szCs w:val="28"/>
        </w:rPr>
        <w:t>、在本合同执行期间如发生争议时，应由甲乙双方先进行协商；经过甲乙双方协商未果，可向甲方所在地人民法院提起诉讼。</w:t>
      </w:r>
    </w:p>
    <w:p>
      <w:pPr>
        <w:spacing w:line="560" w:lineRule="exact"/>
        <w:ind w:firstLine="560" w:firstLineChars="200"/>
        <w:rPr>
          <w:rFonts w:ascii="方正仿宋_GBK" w:hAnsi="宋体" w:eastAsia="方正仿宋_GBK"/>
          <w:color w:val="000000"/>
          <w:sz w:val="28"/>
          <w:szCs w:val="28"/>
        </w:rPr>
      </w:pPr>
      <w:r>
        <w:rPr>
          <w:rFonts w:ascii="方正仿宋_GBK" w:hAnsi="宋体" w:eastAsia="方正仿宋_GBK"/>
          <w:color w:val="000000"/>
          <w:sz w:val="28"/>
          <w:szCs w:val="28"/>
        </w:rPr>
        <w:t>2</w:t>
      </w:r>
      <w:r>
        <w:rPr>
          <w:rFonts w:hint="eastAsia" w:ascii="方正仿宋_GBK" w:hAnsi="宋体" w:eastAsia="方正仿宋_GBK"/>
          <w:color w:val="000000"/>
          <w:sz w:val="28"/>
          <w:szCs w:val="28"/>
        </w:rPr>
        <w:t>、本合同执行期间，如遇不可抗拒的自然灾害（台风、洪水、地震等）致使合同无法履行时，双方协商解决。</w:t>
      </w:r>
    </w:p>
    <w:p>
      <w:pPr>
        <w:spacing w:line="560" w:lineRule="exact"/>
        <w:ind w:firstLine="560" w:firstLineChars="200"/>
        <w:rPr>
          <w:rFonts w:ascii="方正仿宋_GBK" w:hAnsi="宋体" w:eastAsia="方正仿宋_GBK"/>
          <w:color w:val="000000"/>
          <w:sz w:val="28"/>
          <w:szCs w:val="28"/>
        </w:rPr>
      </w:pPr>
      <w:r>
        <w:rPr>
          <w:rFonts w:ascii="方正仿宋_GBK" w:hAnsi="宋体" w:eastAsia="方正仿宋_GBK"/>
          <w:color w:val="000000"/>
          <w:sz w:val="28"/>
          <w:szCs w:val="28"/>
        </w:rPr>
        <w:t>3</w:t>
      </w:r>
      <w:r>
        <w:rPr>
          <w:rFonts w:hint="eastAsia" w:ascii="方正仿宋_GBK" w:hAnsi="宋体" w:eastAsia="方正仿宋_GBK"/>
          <w:color w:val="000000"/>
          <w:sz w:val="28"/>
          <w:szCs w:val="28"/>
        </w:rPr>
        <w:t>、</w:t>
      </w:r>
      <w:r>
        <w:rPr>
          <w:rFonts w:hint="eastAsia" w:ascii="方正仿宋_GBK" w:hAnsi="宋体" w:eastAsia="方正仿宋_GBK"/>
          <w:color w:val="0000FF"/>
          <w:sz w:val="28"/>
          <w:szCs w:val="28"/>
        </w:rPr>
        <w:t>本合同一式肆份，甲方执贰份，乙方执贰份，</w:t>
      </w:r>
      <w:r>
        <w:rPr>
          <w:rFonts w:hint="eastAsia" w:ascii="方正仿宋_GBK" w:hAnsi="宋体" w:eastAsia="方正仿宋_GBK"/>
          <w:color w:val="000000"/>
          <w:sz w:val="28"/>
          <w:szCs w:val="28"/>
        </w:rPr>
        <w:t>双方代表签字盖章后方可生效，具有同等法律效力。</w:t>
      </w:r>
      <w:r>
        <w:rPr>
          <w:rFonts w:ascii="方正仿宋_GBK" w:hAnsi="宋体" w:eastAsia="方正仿宋_GBK"/>
          <w:color w:val="000000"/>
          <w:sz w:val="28"/>
          <w:szCs w:val="28"/>
        </w:rPr>
        <w:t> </w:t>
      </w:r>
    </w:p>
    <w:p>
      <w:pPr>
        <w:spacing w:line="560" w:lineRule="exact"/>
        <w:ind w:firstLine="560" w:firstLineChars="200"/>
        <w:rPr>
          <w:rFonts w:ascii="宋体" w:hAnsi="宋体" w:cs="宋体"/>
          <w:kern w:val="0"/>
          <w:sz w:val="28"/>
          <w:szCs w:val="28"/>
        </w:rPr>
      </w:pPr>
    </w:p>
    <w:p>
      <w:pPr>
        <w:spacing w:line="560" w:lineRule="exact"/>
        <w:rPr>
          <w:rFonts w:ascii="宋体" w:hAnsi="宋体" w:cs="宋体"/>
          <w:kern w:val="0"/>
          <w:sz w:val="28"/>
          <w:szCs w:val="28"/>
        </w:rPr>
      </w:pPr>
      <w:r>
        <w:rPr>
          <w:rFonts w:hint="eastAsia" w:ascii="宋体" w:hAnsi="宋体" w:cs="宋体"/>
          <w:kern w:val="0"/>
          <w:sz w:val="28"/>
          <w:szCs w:val="28"/>
        </w:rPr>
        <w:t>甲方（盖章）：</w:t>
      </w:r>
      <w:r>
        <w:rPr>
          <w:rFonts w:ascii="宋体" w:hAnsi="宋体" w:cs="宋体"/>
          <w:kern w:val="0"/>
          <w:sz w:val="28"/>
          <w:szCs w:val="28"/>
        </w:rPr>
        <w:t>        </w:t>
      </w:r>
      <w:r>
        <w:rPr>
          <w:rFonts w:hint="eastAsia" w:ascii="宋体" w:hAnsi="宋体" w:cs="宋体"/>
          <w:kern w:val="0"/>
          <w:sz w:val="28"/>
          <w:szCs w:val="28"/>
        </w:rPr>
        <w:t xml:space="preserve"> 乙方（盖章）：</w:t>
      </w:r>
    </w:p>
    <w:p>
      <w:pPr>
        <w:spacing w:line="560" w:lineRule="exact"/>
        <w:rPr>
          <w:rFonts w:ascii="宋体" w:hAnsi="宋体" w:cs="宋体"/>
          <w:kern w:val="0"/>
          <w:sz w:val="28"/>
          <w:szCs w:val="28"/>
        </w:rPr>
      </w:pPr>
      <w:r>
        <w:rPr>
          <w:rFonts w:hint="eastAsia" w:ascii="宋体" w:hAnsi="宋体" w:cs="宋体"/>
          <w:kern w:val="0"/>
          <w:sz w:val="28"/>
          <w:szCs w:val="28"/>
        </w:rPr>
        <w:t>代表：</w:t>
      </w:r>
      <w:r>
        <w:rPr>
          <w:rFonts w:ascii="宋体" w:hAnsi="宋体" w:cs="宋体"/>
          <w:kern w:val="0"/>
          <w:sz w:val="28"/>
          <w:szCs w:val="28"/>
        </w:rPr>
        <w:t>             </w:t>
      </w:r>
      <w:r>
        <w:rPr>
          <w:rFonts w:hint="eastAsia" w:ascii="宋体" w:hAnsi="宋体" w:cs="宋体"/>
          <w:kern w:val="0"/>
          <w:sz w:val="28"/>
          <w:szCs w:val="28"/>
        </w:rPr>
        <w:t xml:space="preserve"> 代表：</w:t>
      </w:r>
    </w:p>
    <w:p>
      <w:pPr>
        <w:spacing w:line="560" w:lineRule="exact"/>
        <w:rPr>
          <w:rFonts w:ascii="宋体" w:hAnsi="宋体" w:cs="宋体"/>
          <w:kern w:val="0"/>
          <w:sz w:val="28"/>
          <w:szCs w:val="28"/>
        </w:rPr>
      </w:pPr>
      <w:r>
        <w:rPr>
          <w:rFonts w:hint="eastAsia" w:ascii="宋体" w:hAnsi="宋体" w:cs="宋体"/>
          <w:kern w:val="0"/>
          <w:sz w:val="28"/>
          <w:szCs w:val="28"/>
        </w:rPr>
        <w:t>联系电话：</w:t>
      </w:r>
      <w:r>
        <w:rPr>
          <w:rFonts w:ascii="宋体" w:hAnsi="宋体" w:cs="宋体"/>
          <w:kern w:val="0"/>
          <w:sz w:val="28"/>
          <w:szCs w:val="28"/>
        </w:rPr>
        <w:t>          </w:t>
      </w:r>
      <w:r>
        <w:rPr>
          <w:rFonts w:hint="eastAsia" w:ascii="宋体" w:hAnsi="宋体" w:cs="宋体"/>
          <w:kern w:val="0"/>
          <w:sz w:val="28"/>
          <w:szCs w:val="28"/>
        </w:rPr>
        <w:t xml:space="preserve"> 联系电话：</w:t>
      </w:r>
    </w:p>
    <w:p>
      <w:pPr>
        <w:spacing w:line="560" w:lineRule="exact"/>
        <w:ind w:firstLine="560" w:firstLineChars="200"/>
        <w:rPr>
          <w:rFonts w:ascii="宋体" w:hAns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开户银行：</w:t>
      </w:r>
    </w:p>
    <w:p>
      <w:pPr>
        <w:spacing w:line="560" w:lineRule="exact"/>
        <w:ind w:firstLine="560" w:firstLineChars="200"/>
        <w:rPr>
          <w:rFonts w:ascii="宋体" w:hAns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户名：</w:t>
      </w:r>
    </w:p>
    <w:p>
      <w:pPr>
        <w:spacing w:line="560" w:lineRule="exact"/>
        <w:ind w:firstLine="560" w:firstLineChars="200"/>
        <w:rPr>
          <w:rFonts w:ascii="宋体" w:hAns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帐号：</w:t>
      </w:r>
    </w:p>
    <w:p>
      <w:pPr>
        <w:spacing w:line="560" w:lineRule="exact"/>
        <w:ind w:firstLine="560" w:firstLineChars="200"/>
        <w:rPr>
          <w:rFonts w:ascii="宋体" w:hAnsi="宋体" w:cs="宋体"/>
          <w:kern w:val="0"/>
          <w:sz w:val="28"/>
          <w:szCs w:val="28"/>
        </w:rPr>
      </w:pPr>
    </w:p>
    <w:p>
      <w:pPr>
        <w:spacing w:line="560" w:lineRule="exact"/>
        <w:ind w:firstLine="2800" w:firstLineChars="1000"/>
        <w:rPr>
          <w:rFonts w:ascii="宋体" w:hAnsi="宋体" w:cs="宋体"/>
          <w:kern w:val="0"/>
          <w:sz w:val="28"/>
          <w:szCs w:val="28"/>
        </w:rPr>
      </w:pPr>
      <w:r>
        <w:rPr>
          <w:rFonts w:ascii="宋体" w:hAnsi="宋体" w:cs="宋体"/>
          <w:kern w:val="0"/>
          <w:sz w:val="28"/>
          <w:szCs w:val="28"/>
        </w:rPr>
        <w:t>   </w:t>
      </w:r>
      <w:r>
        <w:rPr>
          <w:rFonts w:hint="eastAsia" w:ascii="宋体" w:hAnsi="宋体" w:cs="宋体"/>
          <w:kern w:val="0"/>
          <w:sz w:val="28"/>
          <w:szCs w:val="28"/>
        </w:rPr>
        <w:t>签定日期：</w:t>
      </w:r>
      <w:r>
        <w:rPr>
          <w:rFonts w:ascii="宋体" w:hAnsi="宋体" w:cs="宋体"/>
          <w:kern w:val="0"/>
          <w:sz w:val="28"/>
          <w:szCs w:val="28"/>
        </w:rPr>
        <w:t xml:space="preserve">   </w:t>
      </w:r>
      <w:r>
        <w:rPr>
          <w:rFonts w:hint="eastAsia" w:ascii="宋体" w:hAnsi="宋体" w:cs="宋体"/>
          <w:kern w:val="0"/>
          <w:sz w:val="28"/>
          <w:szCs w:val="28"/>
        </w:rPr>
        <w:t>年</w:t>
      </w:r>
      <w:r>
        <w:rPr>
          <w:rFonts w:ascii="宋体" w:hAnsi="宋体" w:cs="宋体"/>
          <w:kern w:val="0"/>
          <w:sz w:val="28"/>
          <w:szCs w:val="28"/>
        </w:rPr>
        <w:t xml:space="preserve">  </w:t>
      </w:r>
      <w:r>
        <w:rPr>
          <w:rFonts w:hint="eastAsia" w:ascii="宋体" w:hAnsi="宋体" w:cs="宋体"/>
          <w:kern w:val="0"/>
          <w:sz w:val="28"/>
          <w:szCs w:val="28"/>
        </w:rPr>
        <w:t>月</w:t>
      </w:r>
      <w:r>
        <w:rPr>
          <w:rFonts w:ascii="宋体" w:hAnsi="宋体" w:cs="宋体"/>
          <w:kern w:val="0"/>
          <w:sz w:val="28"/>
          <w:szCs w:val="28"/>
        </w:rPr>
        <w:t xml:space="preserve">  </w:t>
      </w:r>
      <w:r>
        <w:rPr>
          <w:rFonts w:hint="eastAsia" w:ascii="宋体" w:hAnsi="宋体" w:cs="宋体"/>
          <w:kern w:val="0"/>
          <w:sz w:val="28"/>
          <w:szCs w:val="28"/>
        </w:rPr>
        <w:t>日</w:t>
      </w:r>
    </w:p>
    <w:p>
      <w:pPr>
        <w:spacing w:line="500" w:lineRule="exact"/>
        <w:jc w:val="center"/>
        <w:rPr>
          <w:rFonts w:ascii="仿宋" w:hAnsi="仿宋" w:eastAsia="仿宋"/>
          <w:b/>
          <w:sz w:val="44"/>
        </w:rPr>
      </w:pPr>
      <w:r>
        <w:rPr>
          <w:rFonts w:ascii="宋体" w:hAnsi="宋体" w:cs="宋体"/>
          <w:kern w:val="0"/>
          <w:sz w:val="28"/>
          <w:szCs w:val="28"/>
        </w:rPr>
        <w:br w:type="page"/>
      </w:r>
      <w:bookmarkStart w:id="61" w:name="_Hlt41879464"/>
      <w:bookmarkEnd w:id="61"/>
      <w:bookmarkStart w:id="62" w:name="_Toc12789072"/>
      <w:bookmarkStart w:id="63" w:name="_Toc29543190"/>
    </w:p>
    <w:p>
      <w:pPr>
        <w:pStyle w:val="3"/>
        <w:spacing w:before="0" w:after="0" w:line="560" w:lineRule="exact"/>
        <w:jc w:val="center"/>
        <w:rPr>
          <w:rFonts w:ascii="黑体" w:hAnsi="黑体"/>
          <w:b w:val="0"/>
          <w:color w:val="000000" w:themeColor="text1"/>
        </w:rPr>
      </w:pPr>
      <w:r>
        <w:rPr>
          <w:rFonts w:hint="eastAsia" w:ascii="黑体" w:hAnsi="黑体"/>
          <w:b w:val="0"/>
          <w:color w:val="000000" w:themeColor="text1"/>
        </w:rPr>
        <w:t>第六篇  响应文件格式要求</w:t>
      </w:r>
      <w:bookmarkEnd w:id="62"/>
      <w:bookmarkEnd w:id="63"/>
    </w:p>
    <w:p>
      <w:pPr>
        <w:rPr>
          <w:color w:val="000000" w:themeColor="text1"/>
        </w:rPr>
      </w:pPr>
    </w:p>
    <w:p>
      <w:pPr>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一、经济部分</w:t>
      </w:r>
    </w:p>
    <w:p>
      <w:pPr>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（一）竞争性报价函</w:t>
      </w:r>
    </w:p>
    <w:p>
      <w:pPr>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二、技术部分</w:t>
      </w:r>
    </w:p>
    <w:p>
      <w:pPr>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（一）技术应答</w:t>
      </w:r>
    </w:p>
    <w:p>
      <w:pPr>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（二）技术响应偏离表</w:t>
      </w:r>
    </w:p>
    <w:p>
      <w:pPr>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三、服务部分</w:t>
      </w:r>
    </w:p>
    <w:p>
      <w:pPr>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（一）服务要求响应情况：交货期、质量保证期、售后服务条款等。</w:t>
      </w:r>
    </w:p>
    <w:p>
      <w:pPr>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（二）服务响应偏离表</w:t>
      </w:r>
    </w:p>
    <w:p>
      <w:pPr>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（三）其它优惠承诺</w:t>
      </w:r>
    </w:p>
    <w:p>
      <w:pPr>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四、资格条件及其他</w:t>
      </w:r>
    </w:p>
    <w:p>
      <w:pPr>
        <w:snapToGrid w:val="0"/>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（一）营业执照（副本）或事业单位法人证书（副本）复印件</w:t>
      </w:r>
    </w:p>
    <w:p>
      <w:pPr>
        <w:snapToGrid w:val="0"/>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（二）组织机构代码证复印件</w:t>
      </w:r>
    </w:p>
    <w:p>
      <w:pPr>
        <w:snapToGrid w:val="0"/>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（三）法定代表人身份证明书（格式）</w:t>
      </w:r>
    </w:p>
    <w:p>
      <w:pPr>
        <w:snapToGrid w:val="0"/>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（四）法定代表人授权委托书（格式）</w:t>
      </w:r>
    </w:p>
    <w:p>
      <w:pPr>
        <w:snapToGrid w:val="0"/>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（五）2020年度财务状况报告（表）或其基本开户银行出具的资信证明复印件，本年度新成立或成立不满一年的组织和自然人无法提供财务状况报告（表）的，可提供银行出具的资信证明复印件。</w:t>
      </w:r>
    </w:p>
    <w:p>
      <w:pPr>
        <w:snapToGrid w:val="0"/>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（六）书面声明（格式）</w:t>
      </w:r>
    </w:p>
    <w:p>
      <w:pPr>
        <w:snapToGrid w:val="0"/>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（七）税务登记证（副本）复印件和社会保险缴纳证明材料</w:t>
      </w:r>
    </w:p>
    <w:p>
      <w:pPr>
        <w:snapToGrid w:val="0"/>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（八）特定资格条件证书或证明文件</w:t>
      </w:r>
    </w:p>
    <w:p>
      <w:pPr>
        <w:snapToGrid w:val="0"/>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（九）信用中国网站及中国政府采购网查询结果（查询时间为本项目采购公告发布之日起至提交响应文件截止时间前）</w:t>
      </w:r>
    </w:p>
    <w:p>
      <w:pPr>
        <w:snapToGrid w:val="0"/>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1. 信用中国网站（</w:t>
      </w:r>
      <w:r>
        <w:fldChar w:fldCharType="begin"/>
      </w:r>
      <w:r>
        <w:instrText xml:space="preserve"> HYPERLINK "http://www.creditchina.gov.cn" </w:instrText>
      </w:r>
      <w:r>
        <w:fldChar w:fldCharType="separate"/>
      </w:r>
      <w:r>
        <w:rPr>
          <w:rFonts w:hint="eastAsia" w:ascii="方正仿宋_GBK" w:hAnsi="宋体" w:eastAsia="方正仿宋_GBK"/>
          <w:color w:val="000000" w:themeColor="text1"/>
          <w:sz w:val="28"/>
          <w:szCs w:val="28"/>
        </w:rPr>
        <w:t>www.creditchina.gov.cn</w:t>
      </w:r>
      <w:r>
        <w:rPr>
          <w:rFonts w:hint="eastAsia" w:ascii="方正仿宋_GBK" w:hAnsi="宋体" w:eastAsia="方正仿宋_GBK"/>
          <w:color w:val="000000" w:themeColor="text1"/>
          <w:sz w:val="28"/>
          <w:szCs w:val="28"/>
        </w:rPr>
        <w:fldChar w:fldCharType="end"/>
      </w:r>
      <w:r>
        <w:rPr>
          <w:rFonts w:hint="eastAsia" w:ascii="方正仿宋_GBK" w:hAnsi="宋体" w:eastAsia="方正仿宋_GBK"/>
          <w:color w:val="000000" w:themeColor="text1"/>
          <w:sz w:val="28"/>
          <w:szCs w:val="28"/>
        </w:rPr>
        <w:t>）查询结果（提供查询结果网页打印件并加盖供应商公章）</w:t>
      </w:r>
    </w:p>
    <w:p>
      <w:pPr>
        <w:snapToGrid w:val="0"/>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1.1“信用信息”查询结果；</w:t>
      </w:r>
    </w:p>
    <w:p>
      <w:pPr>
        <w:snapToGrid w:val="0"/>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1.2“失信被执行人”查询结果；</w:t>
      </w:r>
    </w:p>
    <w:p>
      <w:pPr>
        <w:snapToGrid w:val="0"/>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1.3“重大税收违法案件当事人名单”查询结果；</w:t>
      </w:r>
    </w:p>
    <w:p>
      <w:pPr>
        <w:snapToGrid w:val="0"/>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1.4“政府行政许可与行政处罚”查询结果。</w:t>
      </w:r>
    </w:p>
    <w:p>
      <w:pPr>
        <w:snapToGrid w:val="0"/>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2. 中国政府采购网（</w:t>
      </w:r>
      <w:r>
        <w:fldChar w:fldCharType="begin"/>
      </w:r>
      <w:r>
        <w:instrText xml:space="preserve"> HYPERLINK "http://www.ccgp.gov.cn" </w:instrText>
      </w:r>
      <w:r>
        <w:fldChar w:fldCharType="separate"/>
      </w:r>
      <w:r>
        <w:rPr>
          <w:rFonts w:hint="eastAsia" w:ascii="方正仿宋_GBK" w:hAnsi="宋体" w:eastAsia="方正仿宋_GBK"/>
          <w:color w:val="000000" w:themeColor="text1"/>
          <w:sz w:val="28"/>
          <w:szCs w:val="28"/>
        </w:rPr>
        <w:t>www.ccgp.gov.cn</w:t>
      </w:r>
      <w:r>
        <w:rPr>
          <w:rFonts w:hint="eastAsia" w:ascii="方正仿宋_GBK" w:hAnsi="宋体" w:eastAsia="方正仿宋_GBK"/>
          <w:color w:val="000000" w:themeColor="text1"/>
          <w:sz w:val="28"/>
          <w:szCs w:val="28"/>
        </w:rPr>
        <w:fldChar w:fldCharType="end"/>
      </w:r>
      <w:r>
        <w:rPr>
          <w:rFonts w:hint="eastAsia" w:ascii="方正仿宋_GBK" w:hAnsi="宋体" w:eastAsia="方正仿宋_GBK"/>
          <w:color w:val="000000" w:themeColor="text1"/>
          <w:sz w:val="28"/>
          <w:szCs w:val="28"/>
        </w:rPr>
        <w:t>）（提供查询结果网页打印件并加盖供应商公章）</w:t>
      </w:r>
    </w:p>
    <w:p>
      <w:pPr>
        <w:snapToGrid w:val="0"/>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“政府采购严重违法失信行为记录名单”查询结果。</w:t>
      </w:r>
    </w:p>
    <w:p>
      <w:pPr>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说明：供应商按“三证合一”登记制度办理营业执照的，组织机构代码证和税务登记证以供应商所提供的法人营业执照（副本）复印件为准</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五、其他应提供的资料</w:t>
      </w:r>
    </w:p>
    <w:p>
      <w:pPr>
        <w:jc w:val="left"/>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 xml:space="preserve">    （一）反商业贿赂承诺书</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（二）产品质量及售后服务保证书</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（三）供应商认为其他与项目有关的资料（自附）</w:t>
      </w:r>
    </w:p>
    <w:p>
      <w:pPr>
        <w:snapToGrid w:val="0"/>
        <w:spacing w:line="560" w:lineRule="exact"/>
        <w:rPr>
          <w:rFonts w:ascii="方正仿宋_GBK" w:hAnsi="宋体" w:eastAsia="方正仿宋_GBK"/>
          <w:color w:val="000000" w:themeColor="text1"/>
          <w:szCs w:val="28"/>
          <w:bdr w:val="single" w:color="auto" w:sz="4" w:space="0"/>
        </w:rPr>
      </w:pPr>
    </w:p>
    <w:p>
      <w:pPr>
        <w:snapToGrid w:val="0"/>
        <w:spacing w:line="560" w:lineRule="exact"/>
        <w:rPr>
          <w:rFonts w:ascii="方正仿宋_GBK" w:hAnsi="宋体" w:eastAsia="方正仿宋_GBK"/>
          <w:color w:val="000000" w:themeColor="text1"/>
          <w:szCs w:val="28"/>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spacing w:before="0" w:after="0" w:line="560" w:lineRule="exact"/>
        <w:ind w:firstLine="560" w:firstLineChars="200"/>
        <w:rPr>
          <w:rFonts w:ascii="方正仿宋_GBK" w:hAnsi="宋体" w:eastAsia="方正仿宋_GBK"/>
          <w:b w:val="0"/>
          <w:color w:val="000000" w:themeColor="text1"/>
          <w:sz w:val="28"/>
          <w:szCs w:val="28"/>
        </w:rPr>
      </w:pPr>
      <w:bookmarkStart w:id="64" w:name="_Toc313008356"/>
      <w:bookmarkStart w:id="65" w:name="_Toc313888360"/>
      <w:bookmarkStart w:id="66" w:name="_Toc342913419"/>
      <w:bookmarkStart w:id="67" w:name="_Toc29543191"/>
      <w:bookmarkStart w:id="68" w:name="_Toc283382454"/>
      <w:bookmarkStart w:id="69" w:name="_Toc12789073"/>
      <w:r>
        <w:rPr>
          <w:rFonts w:hint="eastAsia" w:ascii="方正仿宋_GBK" w:hAnsi="宋体" w:eastAsia="方正仿宋_GBK"/>
          <w:b w:val="0"/>
          <w:color w:val="000000" w:themeColor="text1"/>
          <w:sz w:val="28"/>
          <w:szCs w:val="28"/>
        </w:rPr>
        <w:t>一、经济部分</w:t>
      </w:r>
      <w:bookmarkEnd w:id="64"/>
      <w:bookmarkEnd w:id="65"/>
      <w:bookmarkEnd w:id="66"/>
      <w:bookmarkEnd w:id="67"/>
      <w:bookmarkEnd w:id="68"/>
      <w:bookmarkEnd w:id="69"/>
    </w:p>
    <w:p>
      <w:pPr>
        <w:tabs>
          <w:tab w:val="left" w:pos="6300"/>
        </w:tabs>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（一）竞争性磋商报价函</w:t>
      </w:r>
    </w:p>
    <w:p>
      <w:pPr>
        <w:tabs>
          <w:tab w:val="left" w:pos="6300"/>
        </w:tabs>
        <w:snapToGrid w:val="0"/>
        <w:spacing w:line="560" w:lineRule="exact"/>
        <w:jc w:val="center"/>
        <w:outlineLvl w:val="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竞争性磋商报价函</w:t>
      </w:r>
    </w:p>
    <w:p>
      <w:pPr>
        <w:tabs>
          <w:tab w:val="left" w:pos="6300"/>
        </w:tabs>
        <w:snapToGrid w:val="0"/>
        <w:spacing w:line="560" w:lineRule="exact"/>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致重庆市江北区中医院：</w:t>
      </w:r>
    </w:p>
    <w:p>
      <w:pPr>
        <w:tabs>
          <w:tab w:val="left" w:pos="6300"/>
        </w:tabs>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我方收到____________________________（磋商项目名称）的竞争性磋商文件，经详细研究，决定参加该磋商项目的竞争磋商。</w:t>
      </w:r>
    </w:p>
    <w:p>
      <w:pPr>
        <w:tabs>
          <w:tab w:val="left" w:pos="6300"/>
        </w:tabs>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 xml:space="preserve">1.愿意按照竞争性磋商文件中的一切要求，提供本项目的交货及技术服务，初始报价为人民币大写：  元整；人民币小写：  元。以我公司最后报价为准。     </w:t>
      </w:r>
    </w:p>
    <w:p>
      <w:pPr>
        <w:tabs>
          <w:tab w:val="left" w:pos="6300"/>
        </w:tabs>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2.我方现提交的响应文件为：响应文件正本份，副本份。</w:t>
      </w:r>
    </w:p>
    <w:p>
      <w:pPr>
        <w:tabs>
          <w:tab w:val="left" w:pos="6300"/>
        </w:tabs>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3.我方承诺：本次磋商的有效期为90天。</w:t>
      </w:r>
    </w:p>
    <w:p>
      <w:pPr>
        <w:tabs>
          <w:tab w:val="left" w:pos="6300"/>
        </w:tabs>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4.我方完全理解和接受贵方竞争性磋商文件的一切规定和要求及磋商评审办法。</w:t>
      </w:r>
    </w:p>
    <w:p>
      <w:pPr>
        <w:tabs>
          <w:tab w:val="left" w:pos="6300"/>
        </w:tabs>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5.在整个竞争性磋商过程中，我方若有违规行为，接受按照《中华人民共和国政府采购法》和《竞争性磋商文件》之规定给予惩罚。</w:t>
      </w:r>
    </w:p>
    <w:p>
      <w:pPr>
        <w:tabs>
          <w:tab w:val="left" w:pos="6300"/>
        </w:tabs>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6.我方若成为成交供应商，将按照最终磋商结果签订合同，并且严格履行合同义务。本承诺函将成为合同不可分割的一部分，与合同具有同等的法律效力。</w:t>
      </w:r>
    </w:p>
    <w:p>
      <w:pPr>
        <w:tabs>
          <w:tab w:val="right" w:leader="middleDot" w:pos="8820"/>
        </w:tabs>
        <w:spacing w:line="58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7.本投标文件始终对我方有约束力，我方将遵守磋商文件规定，履行合同责任和义务，按照磋商文件条款及规定时间、地点提供保质保量的服务和产品。</w:t>
      </w:r>
    </w:p>
    <w:p>
      <w:pPr>
        <w:tabs>
          <w:tab w:val="left" w:pos="6300"/>
        </w:tabs>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8.我方未为采购项目提供整体设计、规范编制或者项目管理、监理、检测等服务。</w:t>
      </w:r>
    </w:p>
    <w:p>
      <w:pPr>
        <w:spacing w:line="580" w:lineRule="exact"/>
        <w:ind w:firstLine="560" w:firstLineChars="200"/>
        <w:rPr>
          <w:rFonts w:ascii="方正仿宋_GBK" w:eastAsia="方正仿宋_GBK"/>
          <w:color w:val="000000" w:themeColor="text1"/>
          <w:sz w:val="28"/>
          <w:szCs w:val="28"/>
        </w:rPr>
      </w:pPr>
      <w:r>
        <w:rPr>
          <w:rFonts w:hint="eastAsia" w:ascii="方正仿宋_GBK" w:hAnsi="宋体" w:eastAsia="方正仿宋_GBK"/>
          <w:color w:val="000000" w:themeColor="text1"/>
          <w:sz w:val="28"/>
          <w:szCs w:val="28"/>
        </w:rPr>
        <w:t>9.我方同意提供采购人要求的有关本次投标的其它任何资料。</w:t>
      </w:r>
    </w:p>
    <w:p>
      <w:pPr>
        <w:tabs>
          <w:tab w:val="left" w:pos="6300"/>
        </w:tabs>
        <w:snapToGrid w:val="0"/>
        <w:spacing w:line="560" w:lineRule="exact"/>
        <w:ind w:firstLine="57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供应商（公章）：</w:t>
      </w:r>
    </w:p>
    <w:p>
      <w:pPr>
        <w:tabs>
          <w:tab w:val="left" w:pos="6300"/>
        </w:tabs>
        <w:snapToGrid w:val="0"/>
        <w:spacing w:line="560" w:lineRule="exact"/>
        <w:ind w:firstLine="57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 xml:space="preserve">地址：  </w:t>
      </w:r>
    </w:p>
    <w:p>
      <w:pPr>
        <w:tabs>
          <w:tab w:val="left" w:pos="6300"/>
        </w:tabs>
        <w:snapToGrid w:val="0"/>
        <w:spacing w:line="560" w:lineRule="exact"/>
        <w:ind w:firstLine="57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电话：                           传真：</w:t>
      </w:r>
    </w:p>
    <w:p>
      <w:pPr>
        <w:tabs>
          <w:tab w:val="left" w:pos="6300"/>
        </w:tabs>
        <w:snapToGrid w:val="0"/>
        <w:spacing w:line="560" w:lineRule="exact"/>
        <w:ind w:firstLine="57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网址：                           邮编：</w:t>
      </w:r>
    </w:p>
    <w:p>
      <w:pPr>
        <w:tabs>
          <w:tab w:val="left" w:pos="6300"/>
        </w:tabs>
        <w:snapToGrid w:val="0"/>
        <w:spacing w:line="560" w:lineRule="exact"/>
        <w:ind w:firstLine="57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联系人：</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 xml:space="preserve">                               年   月   日</w:t>
      </w:r>
    </w:p>
    <w:p>
      <w:pPr>
        <w:snapToGrid w:val="0"/>
        <w:spacing w:line="500" w:lineRule="exact"/>
        <w:jc w:val="center"/>
        <w:rPr>
          <w:rFonts w:ascii="仿宋" w:hAnsi="仿宋" w:eastAsia="仿宋"/>
          <w:szCs w:val="36"/>
        </w:rPr>
      </w:pPr>
    </w:p>
    <w:p>
      <w:pPr>
        <w:snapToGrid w:val="0"/>
        <w:spacing w:line="500" w:lineRule="exact"/>
        <w:jc w:val="center"/>
        <w:rPr>
          <w:rFonts w:ascii="仿宋" w:hAnsi="仿宋" w:eastAsia="仿宋"/>
          <w:szCs w:val="36"/>
        </w:rPr>
      </w:pPr>
    </w:p>
    <w:p>
      <w:pPr>
        <w:snapToGrid w:val="0"/>
        <w:spacing w:line="500" w:lineRule="exact"/>
        <w:jc w:val="center"/>
        <w:rPr>
          <w:rFonts w:ascii="仿宋" w:hAnsi="仿宋" w:eastAsia="仿宋"/>
          <w:szCs w:val="36"/>
        </w:rPr>
      </w:pPr>
    </w:p>
    <w:p>
      <w:pPr>
        <w:snapToGrid w:val="0"/>
        <w:spacing w:line="500" w:lineRule="exact"/>
        <w:jc w:val="center"/>
        <w:rPr>
          <w:rFonts w:ascii="仿宋" w:hAnsi="仿宋" w:eastAsia="仿宋"/>
          <w:szCs w:val="36"/>
        </w:rPr>
      </w:pPr>
      <w:r>
        <w:rPr>
          <w:rFonts w:hint="eastAsia" w:ascii="仿宋" w:hAnsi="仿宋" w:eastAsia="仿宋"/>
          <w:szCs w:val="36"/>
        </w:rPr>
        <w:t>（一）开标一览表</w:t>
      </w:r>
    </w:p>
    <w:p>
      <w:pPr>
        <w:spacing w:line="500" w:lineRule="exact"/>
        <w:ind w:firstLine="240" w:firstLineChars="100"/>
        <w:rPr>
          <w:rFonts w:ascii="仿宋" w:hAnsi="仿宋" w:eastAsia="仿宋"/>
          <w:sz w:val="24"/>
          <w:szCs w:val="28"/>
        </w:rPr>
      </w:pPr>
      <w:r>
        <w:rPr>
          <w:rFonts w:hint="eastAsia" w:ascii="仿宋" w:hAnsi="仿宋" w:eastAsia="仿宋"/>
          <w:sz w:val="24"/>
          <w:szCs w:val="28"/>
        </w:rPr>
        <w:t>（三）招标项目名称：</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1701"/>
        <w:gridCol w:w="1984"/>
        <w:gridCol w:w="992"/>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pPr>
              <w:spacing w:line="500" w:lineRule="exact"/>
              <w:jc w:val="center"/>
              <w:rPr>
                <w:rFonts w:ascii="仿宋" w:hAnsi="仿宋" w:eastAsia="仿宋"/>
                <w:szCs w:val="28"/>
              </w:rPr>
            </w:pPr>
            <w:r>
              <w:rPr>
                <w:rFonts w:hint="eastAsia" w:ascii="仿宋" w:hAnsi="仿宋" w:eastAsia="仿宋"/>
                <w:szCs w:val="28"/>
              </w:rPr>
              <w:t>投标人名称</w:t>
            </w:r>
          </w:p>
        </w:tc>
        <w:tc>
          <w:tcPr>
            <w:tcW w:w="7840" w:type="dxa"/>
            <w:gridSpan w:val="5"/>
            <w:vAlign w:val="center"/>
          </w:tcPr>
          <w:p>
            <w:pPr>
              <w:spacing w:line="5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88" w:type="dxa"/>
            <w:vAlign w:val="center"/>
          </w:tcPr>
          <w:p>
            <w:pPr>
              <w:spacing w:line="500" w:lineRule="exact"/>
              <w:jc w:val="center"/>
              <w:rPr>
                <w:rFonts w:ascii="仿宋" w:hAnsi="仿宋" w:eastAsia="仿宋"/>
                <w:szCs w:val="28"/>
              </w:rPr>
            </w:pPr>
            <w:r>
              <w:rPr>
                <w:rFonts w:hint="eastAsia" w:ascii="仿宋" w:hAnsi="仿宋" w:eastAsia="仿宋"/>
                <w:szCs w:val="28"/>
              </w:rPr>
              <w:t>分包号</w:t>
            </w:r>
          </w:p>
        </w:tc>
        <w:tc>
          <w:tcPr>
            <w:tcW w:w="2148" w:type="dxa"/>
            <w:vAlign w:val="center"/>
          </w:tcPr>
          <w:p>
            <w:pPr>
              <w:spacing w:line="500" w:lineRule="exact"/>
              <w:jc w:val="center"/>
              <w:rPr>
                <w:rFonts w:ascii="仿宋" w:hAnsi="仿宋" w:eastAsia="仿宋"/>
                <w:szCs w:val="28"/>
              </w:rPr>
            </w:pPr>
            <w:r>
              <w:rPr>
                <w:rFonts w:hint="eastAsia" w:ascii="仿宋" w:hAnsi="仿宋" w:eastAsia="仿宋"/>
                <w:szCs w:val="28"/>
              </w:rPr>
              <w:t>分包名称</w:t>
            </w:r>
          </w:p>
        </w:tc>
        <w:tc>
          <w:tcPr>
            <w:tcW w:w="1701" w:type="dxa"/>
            <w:vAlign w:val="center"/>
          </w:tcPr>
          <w:p>
            <w:pPr>
              <w:spacing w:line="500" w:lineRule="exact"/>
              <w:jc w:val="center"/>
              <w:rPr>
                <w:rFonts w:ascii="仿宋" w:hAnsi="仿宋" w:eastAsia="仿宋"/>
                <w:szCs w:val="28"/>
              </w:rPr>
            </w:pPr>
            <w:r>
              <w:rPr>
                <w:rFonts w:hint="eastAsia" w:ascii="仿宋" w:hAnsi="仿宋" w:eastAsia="仿宋"/>
                <w:szCs w:val="28"/>
              </w:rPr>
              <w:t>数量</w:t>
            </w:r>
          </w:p>
        </w:tc>
        <w:tc>
          <w:tcPr>
            <w:tcW w:w="1984" w:type="dxa"/>
            <w:vAlign w:val="center"/>
          </w:tcPr>
          <w:p>
            <w:pPr>
              <w:snapToGrid w:val="0"/>
              <w:spacing w:line="240" w:lineRule="atLeast"/>
              <w:rPr>
                <w:rFonts w:ascii="仿宋" w:hAnsi="仿宋" w:eastAsia="仿宋"/>
                <w:szCs w:val="28"/>
              </w:rPr>
            </w:pPr>
            <w:r>
              <w:rPr>
                <w:rFonts w:hint="eastAsia" w:ascii="仿宋" w:hAnsi="仿宋" w:eastAsia="仿宋"/>
                <w:szCs w:val="28"/>
              </w:rPr>
              <w:t>投标报价（小写）</w:t>
            </w:r>
          </w:p>
        </w:tc>
        <w:tc>
          <w:tcPr>
            <w:tcW w:w="992" w:type="dxa"/>
            <w:vAlign w:val="center"/>
          </w:tcPr>
          <w:p>
            <w:pPr>
              <w:spacing w:line="500" w:lineRule="exact"/>
              <w:jc w:val="center"/>
              <w:rPr>
                <w:rFonts w:ascii="仿宋" w:hAnsi="仿宋" w:eastAsia="仿宋"/>
                <w:szCs w:val="28"/>
              </w:rPr>
            </w:pPr>
            <w:r>
              <w:rPr>
                <w:rFonts w:ascii="仿宋" w:hAnsi="仿宋" w:eastAsia="仿宋"/>
                <w:szCs w:val="28"/>
              </w:rPr>
              <w:t>……</w:t>
            </w:r>
          </w:p>
        </w:tc>
        <w:tc>
          <w:tcPr>
            <w:tcW w:w="1015" w:type="dxa"/>
            <w:vAlign w:val="center"/>
          </w:tcPr>
          <w:p>
            <w:pPr>
              <w:spacing w:line="500" w:lineRule="exact"/>
              <w:jc w:val="center"/>
              <w:rPr>
                <w:rFonts w:ascii="仿宋" w:hAnsi="仿宋" w:eastAsia="仿宋"/>
                <w:szCs w:val="28"/>
              </w:rPr>
            </w:pPr>
            <w:r>
              <w:rPr>
                <w:rFonts w:ascii="仿宋" w:hAnsi="仿宋" w:eastAsia="仿宋"/>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spacing w:line="500" w:lineRule="exact"/>
              <w:jc w:val="center"/>
              <w:rPr>
                <w:rFonts w:ascii="仿宋" w:hAnsi="仿宋" w:eastAsia="仿宋"/>
                <w:szCs w:val="28"/>
              </w:rPr>
            </w:pPr>
          </w:p>
        </w:tc>
        <w:tc>
          <w:tcPr>
            <w:tcW w:w="2148" w:type="dxa"/>
            <w:tcBorders>
              <w:bottom w:val="single" w:color="auto" w:sz="4" w:space="0"/>
            </w:tcBorders>
          </w:tcPr>
          <w:p>
            <w:pPr>
              <w:spacing w:line="500" w:lineRule="exact"/>
              <w:rPr>
                <w:rFonts w:ascii="仿宋" w:hAnsi="仿宋" w:eastAsia="仿宋"/>
                <w:szCs w:val="28"/>
              </w:rPr>
            </w:pPr>
          </w:p>
        </w:tc>
        <w:tc>
          <w:tcPr>
            <w:tcW w:w="1701" w:type="dxa"/>
            <w:tcBorders>
              <w:bottom w:val="single" w:color="auto" w:sz="4" w:space="0"/>
            </w:tcBorders>
          </w:tcPr>
          <w:p>
            <w:pPr>
              <w:spacing w:line="500" w:lineRule="exact"/>
              <w:rPr>
                <w:rFonts w:ascii="仿宋" w:hAnsi="仿宋" w:eastAsia="仿宋"/>
                <w:szCs w:val="28"/>
              </w:rPr>
            </w:pPr>
          </w:p>
        </w:tc>
        <w:tc>
          <w:tcPr>
            <w:tcW w:w="1984" w:type="dxa"/>
            <w:tcBorders>
              <w:bottom w:val="single" w:color="auto" w:sz="4" w:space="0"/>
            </w:tcBorders>
          </w:tcPr>
          <w:p>
            <w:pPr>
              <w:spacing w:line="500" w:lineRule="exact"/>
              <w:rPr>
                <w:rFonts w:ascii="仿宋" w:hAnsi="仿宋" w:eastAsia="仿宋"/>
                <w:szCs w:val="28"/>
              </w:rPr>
            </w:pPr>
          </w:p>
        </w:tc>
        <w:tc>
          <w:tcPr>
            <w:tcW w:w="992" w:type="dxa"/>
            <w:tcBorders>
              <w:bottom w:val="single" w:color="auto" w:sz="4" w:space="0"/>
            </w:tcBorders>
          </w:tcPr>
          <w:p>
            <w:pPr>
              <w:spacing w:line="500" w:lineRule="exact"/>
              <w:rPr>
                <w:rFonts w:ascii="仿宋" w:hAnsi="仿宋" w:eastAsia="仿宋"/>
                <w:szCs w:val="28"/>
              </w:rPr>
            </w:pPr>
          </w:p>
        </w:tc>
        <w:tc>
          <w:tcPr>
            <w:tcW w:w="1015" w:type="dxa"/>
            <w:tcBorders>
              <w:bottom w:val="single" w:color="auto" w:sz="4" w:space="0"/>
            </w:tcBorders>
          </w:tcPr>
          <w:p>
            <w:pPr>
              <w:spacing w:line="50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6"/>
            <w:tcBorders>
              <w:bottom w:val="single" w:color="auto" w:sz="4" w:space="0"/>
            </w:tcBorders>
            <w:vAlign w:val="center"/>
          </w:tcPr>
          <w:p>
            <w:pPr>
              <w:spacing w:line="560" w:lineRule="exact"/>
              <w:rPr>
                <w:rFonts w:ascii="仿宋" w:hAnsi="仿宋" w:eastAsia="仿宋"/>
                <w:szCs w:val="28"/>
              </w:rPr>
            </w:pPr>
            <w:r>
              <w:rPr>
                <w:rFonts w:hint="eastAsia" w:ascii="仿宋" w:hAnsi="仿宋" w:eastAsia="仿宋"/>
                <w:szCs w:val="28"/>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6"/>
            <w:vAlign w:val="center"/>
          </w:tcPr>
          <w:p>
            <w:pPr>
              <w:pStyle w:val="32"/>
              <w:spacing w:line="500" w:lineRule="exact"/>
              <w:rPr>
                <w:rFonts w:ascii="仿宋" w:hAnsi="仿宋" w:eastAsia="仿宋"/>
                <w:sz w:val="21"/>
                <w:szCs w:val="28"/>
              </w:rPr>
            </w:pPr>
            <w:r>
              <w:rPr>
                <w:rFonts w:hint="eastAsia" w:ascii="仿宋" w:hAnsi="仿宋" w:eastAsia="仿宋"/>
                <w:sz w:val="21"/>
                <w:szCs w:val="28"/>
              </w:rPr>
              <w:t xml:space="preserve">备注： </w:t>
            </w:r>
          </w:p>
        </w:tc>
      </w:tr>
    </w:tbl>
    <w:p>
      <w:pPr>
        <w:pStyle w:val="32"/>
        <w:spacing w:line="500" w:lineRule="exact"/>
        <w:rPr>
          <w:rFonts w:ascii="仿宋" w:hAnsi="仿宋" w:eastAsia="仿宋"/>
          <w:sz w:val="24"/>
          <w:szCs w:val="28"/>
        </w:rPr>
      </w:pPr>
    </w:p>
    <w:p>
      <w:pPr>
        <w:rPr>
          <w:rFonts w:ascii="仿宋" w:hAnsi="仿宋" w:eastAsia="仿宋"/>
        </w:rPr>
      </w:pPr>
    </w:p>
    <w:p>
      <w:pPr>
        <w:spacing w:line="500" w:lineRule="exact"/>
        <w:rPr>
          <w:rFonts w:ascii="仿宋" w:hAnsi="仿宋" w:eastAsia="仿宋"/>
          <w:sz w:val="24"/>
          <w:szCs w:val="28"/>
        </w:rPr>
      </w:pPr>
    </w:p>
    <w:p>
      <w:pPr>
        <w:spacing w:line="500" w:lineRule="exact"/>
        <w:ind w:firstLine="480" w:firstLineChars="200"/>
        <w:rPr>
          <w:rFonts w:ascii="仿宋" w:hAnsi="仿宋" w:eastAsia="仿宋"/>
          <w:sz w:val="24"/>
          <w:szCs w:val="28"/>
        </w:rPr>
      </w:pPr>
      <w:r>
        <w:rPr>
          <w:rFonts w:hint="eastAsia" w:ascii="仿宋" w:hAnsi="仿宋" w:eastAsia="仿宋"/>
          <w:sz w:val="24"/>
          <w:szCs w:val="28"/>
        </w:rPr>
        <w:t>投标人                               法定代表人或法定代表人授权代表：</w:t>
      </w:r>
    </w:p>
    <w:p>
      <w:pPr>
        <w:spacing w:line="500" w:lineRule="exact"/>
        <w:rPr>
          <w:rFonts w:ascii="仿宋" w:hAnsi="仿宋" w:eastAsia="仿宋"/>
          <w:sz w:val="24"/>
          <w:szCs w:val="28"/>
        </w:rPr>
      </w:pPr>
      <w:r>
        <w:rPr>
          <w:rFonts w:hint="eastAsia" w:ascii="仿宋" w:hAnsi="仿宋" w:eastAsia="仿宋"/>
          <w:sz w:val="24"/>
          <w:szCs w:val="28"/>
        </w:rPr>
        <w:t xml:space="preserve">  （投标人公章）                               （签字或盖章）</w:t>
      </w:r>
    </w:p>
    <w:p>
      <w:pPr>
        <w:spacing w:line="500" w:lineRule="exact"/>
        <w:rPr>
          <w:rFonts w:ascii="仿宋" w:hAnsi="仿宋" w:eastAsia="仿宋"/>
          <w:sz w:val="24"/>
          <w:szCs w:val="28"/>
        </w:rPr>
      </w:pPr>
    </w:p>
    <w:p>
      <w:pPr>
        <w:spacing w:line="500" w:lineRule="exact"/>
        <w:rPr>
          <w:rFonts w:ascii="仿宋" w:hAnsi="仿宋" w:eastAsia="仿宋"/>
          <w:sz w:val="24"/>
          <w:szCs w:val="28"/>
        </w:rPr>
      </w:pPr>
    </w:p>
    <w:p>
      <w:pPr>
        <w:spacing w:line="500" w:lineRule="exact"/>
        <w:rPr>
          <w:rFonts w:ascii="仿宋" w:hAnsi="仿宋" w:eastAsia="仿宋"/>
          <w:sz w:val="24"/>
          <w:szCs w:val="28"/>
        </w:rPr>
      </w:pPr>
      <w:r>
        <w:rPr>
          <w:rFonts w:hint="eastAsia" w:ascii="仿宋" w:hAnsi="仿宋" w:eastAsia="仿宋"/>
          <w:sz w:val="24"/>
          <w:szCs w:val="28"/>
        </w:rPr>
        <w:t xml:space="preserve">                                            年     月     日</w:t>
      </w:r>
    </w:p>
    <w:p>
      <w:pPr>
        <w:snapToGrid w:val="0"/>
        <w:spacing w:line="500" w:lineRule="exact"/>
        <w:ind w:firstLine="480" w:firstLineChars="200"/>
        <w:rPr>
          <w:rFonts w:ascii="仿宋" w:hAnsi="仿宋" w:eastAsia="仿宋"/>
          <w:sz w:val="24"/>
          <w:szCs w:val="28"/>
        </w:rPr>
      </w:pPr>
    </w:p>
    <w:p>
      <w:pPr>
        <w:snapToGrid w:val="0"/>
        <w:spacing w:line="500" w:lineRule="exact"/>
        <w:ind w:firstLine="480" w:firstLineChars="200"/>
        <w:rPr>
          <w:rFonts w:ascii="仿宋" w:hAnsi="仿宋" w:eastAsia="仿宋"/>
          <w:sz w:val="24"/>
          <w:szCs w:val="28"/>
        </w:rPr>
      </w:pPr>
      <w:r>
        <w:rPr>
          <w:rFonts w:hint="eastAsia" w:ascii="仿宋" w:hAnsi="仿宋" w:eastAsia="仿宋"/>
          <w:sz w:val="24"/>
          <w:szCs w:val="28"/>
        </w:rPr>
        <w:t>说明：</w:t>
      </w:r>
    </w:p>
    <w:p>
      <w:pPr>
        <w:snapToGrid w:val="0"/>
        <w:spacing w:line="500" w:lineRule="exact"/>
        <w:ind w:firstLine="480" w:firstLineChars="200"/>
        <w:rPr>
          <w:rFonts w:ascii="仿宋" w:hAnsi="仿宋" w:eastAsia="仿宋"/>
          <w:sz w:val="24"/>
          <w:szCs w:val="28"/>
        </w:rPr>
      </w:pPr>
      <w:r>
        <w:rPr>
          <w:rFonts w:hint="eastAsia" w:ascii="仿宋" w:hAnsi="仿宋" w:eastAsia="仿宋"/>
          <w:sz w:val="24"/>
          <w:szCs w:val="28"/>
        </w:rPr>
        <w:t>1.开标一览表按格式填列；</w:t>
      </w:r>
    </w:p>
    <w:p>
      <w:pPr>
        <w:snapToGrid w:val="0"/>
        <w:spacing w:line="500" w:lineRule="exact"/>
        <w:ind w:firstLine="480" w:firstLineChars="200"/>
        <w:rPr>
          <w:rFonts w:ascii="仿宋" w:hAnsi="仿宋" w:eastAsia="仿宋"/>
          <w:sz w:val="24"/>
          <w:szCs w:val="28"/>
        </w:rPr>
      </w:pPr>
      <w:r>
        <w:rPr>
          <w:rFonts w:hint="eastAsia" w:ascii="仿宋" w:hAnsi="仿宋" w:eastAsia="仿宋"/>
          <w:sz w:val="24"/>
          <w:szCs w:val="28"/>
        </w:rPr>
        <w:t>2.开标一览表在开标大会上当众宣读，务必填写清楚，准确无误；</w:t>
      </w:r>
    </w:p>
    <w:p>
      <w:pPr>
        <w:snapToGrid w:val="0"/>
        <w:spacing w:line="560" w:lineRule="exact"/>
        <w:ind w:firstLine="420" w:firstLineChars="200"/>
        <w:rPr>
          <w:rFonts w:ascii="仿宋" w:hAnsi="仿宋" w:eastAsia="仿宋"/>
          <w:szCs w:val="36"/>
        </w:rPr>
      </w:pPr>
      <w:r>
        <w:rPr>
          <w:rFonts w:hint="eastAsia" w:ascii="仿宋" w:hAnsi="仿宋" w:eastAsia="仿宋"/>
          <w:szCs w:val="36"/>
          <w:highlight w:val="yellow"/>
        </w:rPr>
        <w:t>（四）分项报价明细表</w:t>
      </w:r>
    </w:p>
    <w:p>
      <w:pPr>
        <w:snapToGrid w:val="0"/>
        <w:spacing w:line="560" w:lineRule="exact"/>
        <w:ind w:firstLine="7440" w:firstLineChars="3100"/>
        <w:rPr>
          <w:rFonts w:ascii="方正仿宋_GBK" w:hAnsi="宋体" w:eastAsia="方正仿宋_GBK"/>
          <w:color w:val="000000" w:themeColor="text1"/>
          <w:sz w:val="28"/>
          <w:szCs w:val="28"/>
        </w:rPr>
      </w:pPr>
      <w:r>
        <w:rPr>
          <w:rFonts w:hint="eastAsia" w:ascii="仿宋" w:hAnsi="仿宋" w:eastAsia="仿宋"/>
          <w:sz w:val="24"/>
          <w:szCs w:val="28"/>
        </w:rPr>
        <w:t>单位：元</w:t>
      </w:r>
    </w:p>
    <w:tbl>
      <w:tblPr>
        <w:tblStyle w:val="57"/>
        <w:tblpPr w:leftFromText="180" w:rightFromText="180" w:vertAnchor="text" w:horzAnchor="page" w:tblpX="1516" w:tblpY="11"/>
        <w:tblOverlap w:val="never"/>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330"/>
        <w:gridCol w:w="1650"/>
        <w:gridCol w:w="1470"/>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34" w:type="dxa"/>
            <w:vAlign w:val="center"/>
          </w:tcPr>
          <w:p>
            <w:pPr>
              <w:spacing w:line="260" w:lineRule="exact"/>
              <w:jc w:val="center"/>
              <w:rPr>
                <w:rFonts w:ascii="仿宋" w:hAnsi="仿宋" w:eastAsia="仿宋" w:cs="仿宋"/>
                <w:szCs w:val="21"/>
              </w:rPr>
            </w:pPr>
            <w:r>
              <w:rPr>
                <w:rFonts w:hint="eastAsia" w:ascii="仿宋" w:hAnsi="仿宋" w:eastAsia="仿宋" w:cs="仿宋"/>
                <w:szCs w:val="21"/>
              </w:rPr>
              <w:t>序号</w:t>
            </w:r>
          </w:p>
        </w:tc>
        <w:tc>
          <w:tcPr>
            <w:tcW w:w="3330" w:type="dxa"/>
            <w:vAlign w:val="center"/>
          </w:tcPr>
          <w:p>
            <w:pPr>
              <w:spacing w:line="260" w:lineRule="exact"/>
              <w:jc w:val="center"/>
              <w:rPr>
                <w:rFonts w:ascii="仿宋" w:hAnsi="仿宋" w:eastAsia="仿宋" w:cs="仿宋"/>
                <w:szCs w:val="21"/>
              </w:rPr>
            </w:pPr>
            <w:r>
              <w:rPr>
                <w:rFonts w:hint="eastAsia" w:ascii="仿宋" w:hAnsi="仿宋" w:eastAsia="仿宋" w:cs="仿宋"/>
                <w:szCs w:val="21"/>
              </w:rPr>
              <w:t>名称</w:t>
            </w:r>
          </w:p>
        </w:tc>
        <w:tc>
          <w:tcPr>
            <w:tcW w:w="1650" w:type="dxa"/>
            <w:vAlign w:val="center"/>
          </w:tcPr>
          <w:p>
            <w:pPr>
              <w:spacing w:line="260" w:lineRule="exact"/>
              <w:jc w:val="center"/>
              <w:rPr>
                <w:rFonts w:ascii="仿宋" w:hAnsi="仿宋" w:eastAsia="仿宋" w:cs="仿宋"/>
                <w:szCs w:val="21"/>
              </w:rPr>
            </w:pPr>
            <w:r>
              <w:rPr>
                <w:rFonts w:hint="eastAsia" w:ascii="仿宋" w:hAnsi="仿宋" w:eastAsia="仿宋" w:cs="仿宋"/>
                <w:szCs w:val="21"/>
              </w:rPr>
              <w:t>单位</w:t>
            </w:r>
          </w:p>
        </w:tc>
        <w:tc>
          <w:tcPr>
            <w:tcW w:w="1470" w:type="dxa"/>
            <w:vAlign w:val="center"/>
          </w:tcPr>
          <w:p>
            <w:pPr>
              <w:spacing w:line="260" w:lineRule="exact"/>
              <w:jc w:val="center"/>
              <w:rPr>
                <w:rFonts w:ascii="仿宋" w:hAnsi="仿宋" w:eastAsia="仿宋" w:cs="仿宋"/>
                <w:szCs w:val="21"/>
              </w:rPr>
            </w:pPr>
            <w:r>
              <w:rPr>
                <w:rFonts w:hint="eastAsia" w:ascii="仿宋" w:hAnsi="仿宋" w:eastAsia="仿宋" w:cs="仿宋"/>
                <w:szCs w:val="21"/>
              </w:rPr>
              <w:t>数量</w:t>
            </w:r>
          </w:p>
        </w:tc>
        <w:tc>
          <w:tcPr>
            <w:tcW w:w="1914" w:type="dxa"/>
            <w:vAlign w:val="center"/>
          </w:tcPr>
          <w:p>
            <w:pPr>
              <w:spacing w:line="260" w:lineRule="exact"/>
              <w:jc w:val="center"/>
              <w:rPr>
                <w:rFonts w:ascii="仿宋" w:hAnsi="仿宋" w:eastAsia="仿宋" w:cs="仿宋"/>
                <w:szCs w:val="21"/>
              </w:rPr>
            </w:pPr>
            <w:r>
              <w:rPr>
                <w:rFonts w:hint="eastAsia" w:ascii="宋体" w:hAnsi="宋体" w:cs="宋体"/>
                <w:color w:val="000000"/>
                <w:sz w:val="24"/>
              </w:rPr>
              <w:t>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34" w:type="dxa"/>
            <w:vAlign w:val="center"/>
          </w:tcPr>
          <w:p>
            <w:pPr>
              <w:widowControl/>
              <w:spacing w:line="260" w:lineRule="exact"/>
              <w:jc w:val="center"/>
              <w:textAlignment w:val="bottom"/>
              <w:rPr>
                <w:rFonts w:ascii="仿宋" w:hAnsi="仿宋" w:eastAsia="仿宋" w:cs="仿宋"/>
                <w:kern w:val="0"/>
                <w:szCs w:val="21"/>
              </w:rPr>
            </w:pPr>
            <w:r>
              <w:rPr>
                <w:rFonts w:hint="eastAsia" w:ascii="仿宋" w:hAnsi="仿宋" w:eastAsia="仿宋" w:cs="仿宋"/>
                <w:kern w:val="0"/>
                <w:szCs w:val="21"/>
              </w:rPr>
              <w:t>1</w:t>
            </w:r>
          </w:p>
        </w:tc>
        <w:tc>
          <w:tcPr>
            <w:tcW w:w="333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COD在线分析仪</w:t>
            </w:r>
          </w:p>
        </w:tc>
        <w:tc>
          <w:tcPr>
            <w:tcW w:w="165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台</w:t>
            </w:r>
          </w:p>
        </w:tc>
        <w:tc>
          <w:tcPr>
            <w:tcW w:w="1470" w:type="dxa"/>
            <w:vAlign w:val="center"/>
          </w:tcPr>
          <w:p>
            <w:pPr>
              <w:widowControl/>
              <w:tabs>
                <w:tab w:val="center" w:pos="0"/>
                <w:tab w:val="left" w:pos="153"/>
              </w:tabs>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1</w:t>
            </w:r>
          </w:p>
        </w:tc>
        <w:tc>
          <w:tcPr>
            <w:tcW w:w="1914" w:type="dxa"/>
            <w:vAlign w:val="center"/>
          </w:tcPr>
          <w:p>
            <w:pPr>
              <w:widowControl/>
              <w:spacing w:line="260" w:lineRule="exact"/>
              <w:ind w:right="-107" w:rightChars="-51"/>
              <w:jc w:val="center"/>
              <w:textAlignment w:val="bottom"/>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134" w:type="dxa"/>
            <w:vAlign w:val="center"/>
          </w:tcPr>
          <w:p>
            <w:pPr>
              <w:widowControl/>
              <w:spacing w:line="260" w:lineRule="exact"/>
              <w:jc w:val="center"/>
              <w:textAlignment w:val="bottom"/>
              <w:rPr>
                <w:rFonts w:ascii="仿宋" w:hAnsi="仿宋" w:eastAsia="仿宋" w:cs="仿宋"/>
                <w:kern w:val="0"/>
                <w:szCs w:val="21"/>
              </w:rPr>
            </w:pPr>
            <w:r>
              <w:rPr>
                <w:rFonts w:hint="eastAsia" w:ascii="仿宋" w:hAnsi="仿宋" w:eastAsia="仿宋" w:cs="仿宋"/>
                <w:kern w:val="0"/>
                <w:szCs w:val="21"/>
              </w:rPr>
              <w:t>2</w:t>
            </w:r>
          </w:p>
        </w:tc>
        <w:tc>
          <w:tcPr>
            <w:tcW w:w="333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氨氮在线分析仪</w:t>
            </w:r>
          </w:p>
        </w:tc>
        <w:tc>
          <w:tcPr>
            <w:tcW w:w="165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台</w:t>
            </w:r>
          </w:p>
        </w:tc>
        <w:tc>
          <w:tcPr>
            <w:tcW w:w="1470" w:type="dxa"/>
            <w:vAlign w:val="center"/>
          </w:tcPr>
          <w:p>
            <w:pPr>
              <w:widowControl/>
              <w:tabs>
                <w:tab w:val="center" w:pos="0"/>
                <w:tab w:val="left" w:pos="153"/>
              </w:tabs>
              <w:spacing w:line="260" w:lineRule="exact"/>
              <w:ind w:right="-107" w:rightChars="-51"/>
              <w:jc w:val="center"/>
              <w:textAlignment w:val="bottom"/>
              <w:rPr>
                <w:rFonts w:ascii="仿宋" w:hAnsi="仿宋" w:eastAsia="仿宋" w:cs="仿宋"/>
                <w:bCs/>
                <w:kern w:val="0"/>
                <w:szCs w:val="21"/>
              </w:rPr>
            </w:pPr>
            <w:r>
              <w:rPr>
                <w:rFonts w:hint="eastAsia" w:ascii="仿宋" w:hAnsi="仿宋" w:eastAsia="仿宋" w:cs="仿宋"/>
                <w:kern w:val="0"/>
                <w:szCs w:val="21"/>
              </w:rPr>
              <w:t>1</w:t>
            </w:r>
          </w:p>
        </w:tc>
        <w:tc>
          <w:tcPr>
            <w:tcW w:w="1914" w:type="dxa"/>
            <w:vAlign w:val="center"/>
          </w:tcPr>
          <w:p>
            <w:pPr>
              <w:widowControl/>
              <w:spacing w:line="260" w:lineRule="exact"/>
              <w:ind w:right="-107" w:rightChars="-51"/>
              <w:jc w:val="center"/>
              <w:textAlignment w:val="bottom"/>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34" w:type="dxa"/>
            <w:vAlign w:val="center"/>
          </w:tcPr>
          <w:p>
            <w:pPr>
              <w:widowControl/>
              <w:spacing w:line="260" w:lineRule="exact"/>
              <w:jc w:val="center"/>
              <w:textAlignment w:val="bottom"/>
              <w:rPr>
                <w:rFonts w:ascii="仿宋" w:hAnsi="仿宋" w:eastAsia="仿宋" w:cs="仿宋"/>
                <w:kern w:val="0"/>
                <w:szCs w:val="21"/>
              </w:rPr>
            </w:pPr>
            <w:r>
              <w:rPr>
                <w:rFonts w:hint="eastAsia" w:ascii="仿宋" w:hAnsi="仿宋" w:eastAsia="仿宋" w:cs="仿宋"/>
                <w:kern w:val="0"/>
                <w:szCs w:val="21"/>
              </w:rPr>
              <w:t>3</w:t>
            </w:r>
          </w:p>
        </w:tc>
        <w:tc>
          <w:tcPr>
            <w:tcW w:w="333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PH仪</w:t>
            </w:r>
          </w:p>
        </w:tc>
        <w:tc>
          <w:tcPr>
            <w:tcW w:w="165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台</w:t>
            </w:r>
          </w:p>
        </w:tc>
        <w:tc>
          <w:tcPr>
            <w:tcW w:w="1470" w:type="dxa"/>
            <w:vAlign w:val="center"/>
          </w:tcPr>
          <w:p>
            <w:pPr>
              <w:widowControl/>
              <w:tabs>
                <w:tab w:val="center" w:pos="0"/>
                <w:tab w:val="left" w:pos="153"/>
              </w:tabs>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1</w:t>
            </w:r>
          </w:p>
        </w:tc>
        <w:tc>
          <w:tcPr>
            <w:tcW w:w="1914" w:type="dxa"/>
            <w:vAlign w:val="center"/>
          </w:tcPr>
          <w:p>
            <w:pPr>
              <w:widowControl/>
              <w:spacing w:line="260" w:lineRule="exact"/>
              <w:ind w:right="-107" w:rightChars="-51"/>
              <w:jc w:val="center"/>
              <w:textAlignment w:val="bottom"/>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4" w:type="dxa"/>
            <w:vAlign w:val="center"/>
          </w:tcPr>
          <w:p>
            <w:pPr>
              <w:widowControl/>
              <w:spacing w:line="260" w:lineRule="exact"/>
              <w:jc w:val="center"/>
              <w:textAlignment w:val="bottom"/>
              <w:rPr>
                <w:rFonts w:ascii="仿宋" w:hAnsi="仿宋" w:eastAsia="仿宋" w:cs="仿宋"/>
                <w:kern w:val="0"/>
                <w:szCs w:val="21"/>
              </w:rPr>
            </w:pPr>
            <w:r>
              <w:rPr>
                <w:rFonts w:hint="eastAsia" w:ascii="仿宋" w:hAnsi="仿宋" w:eastAsia="仿宋" w:cs="仿宋"/>
                <w:kern w:val="0"/>
                <w:szCs w:val="21"/>
              </w:rPr>
              <w:t>4</w:t>
            </w:r>
          </w:p>
        </w:tc>
        <w:tc>
          <w:tcPr>
            <w:tcW w:w="333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数采仪</w:t>
            </w:r>
          </w:p>
        </w:tc>
        <w:tc>
          <w:tcPr>
            <w:tcW w:w="165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台</w:t>
            </w:r>
          </w:p>
        </w:tc>
        <w:tc>
          <w:tcPr>
            <w:tcW w:w="1470" w:type="dxa"/>
            <w:vAlign w:val="center"/>
          </w:tcPr>
          <w:p>
            <w:pPr>
              <w:widowControl/>
              <w:tabs>
                <w:tab w:val="center" w:pos="0"/>
                <w:tab w:val="left" w:pos="153"/>
              </w:tabs>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1</w:t>
            </w:r>
          </w:p>
        </w:tc>
        <w:tc>
          <w:tcPr>
            <w:tcW w:w="1914" w:type="dxa"/>
            <w:vAlign w:val="center"/>
          </w:tcPr>
          <w:p>
            <w:pPr>
              <w:widowControl/>
              <w:spacing w:line="260" w:lineRule="exact"/>
              <w:ind w:right="-107" w:rightChars="-51"/>
              <w:jc w:val="center"/>
              <w:textAlignment w:val="bottom"/>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4" w:type="dxa"/>
            <w:vAlign w:val="center"/>
          </w:tcPr>
          <w:p>
            <w:pPr>
              <w:widowControl/>
              <w:spacing w:line="260" w:lineRule="exact"/>
              <w:jc w:val="center"/>
              <w:textAlignment w:val="bottom"/>
              <w:rPr>
                <w:rFonts w:ascii="仿宋" w:hAnsi="仿宋" w:eastAsia="仿宋" w:cs="仿宋"/>
                <w:kern w:val="0"/>
                <w:szCs w:val="21"/>
              </w:rPr>
            </w:pPr>
            <w:r>
              <w:rPr>
                <w:rFonts w:hint="eastAsia" w:ascii="仿宋" w:hAnsi="仿宋" w:eastAsia="仿宋" w:cs="仿宋"/>
                <w:kern w:val="0"/>
                <w:szCs w:val="21"/>
              </w:rPr>
              <w:t>5</w:t>
            </w:r>
          </w:p>
        </w:tc>
        <w:tc>
          <w:tcPr>
            <w:tcW w:w="333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b/>
                <w:szCs w:val="21"/>
              </w:rPr>
              <w:t>站房翻新</w:t>
            </w:r>
            <w:r>
              <w:rPr>
                <w:rFonts w:hint="eastAsia" w:ascii="仿宋" w:hAnsi="仿宋" w:eastAsia="仿宋" w:cs="仿宋"/>
                <w:szCs w:val="21"/>
              </w:rPr>
              <w:t>：由供应商自行勘察现场，根据已有站房的现场实际情况改造站房，含房屋装修、洗手台、给排水管路、排风扇、照明、辅材以及数据集成、安装及调试及验收</w:t>
            </w:r>
          </w:p>
        </w:tc>
        <w:tc>
          <w:tcPr>
            <w:tcW w:w="165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项</w:t>
            </w:r>
          </w:p>
        </w:tc>
        <w:tc>
          <w:tcPr>
            <w:tcW w:w="1470" w:type="dxa"/>
            <w:vAlign w:val="center"/>
          </w:tcPr>
          <w:p>
            <w:pPr>
              <w:widowControl/>
              <w:tabs>
                <w:tab w:val="center" w:pos="0"/>
                <w:tab w:val="left" w:pos="153"/>
              </w:tabs>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1</w:t>
            </w:r>
          </w:p>
        </w:tc>
        <w:tc>
          <w:tcPr>
            <w:tcW w:w="1914" w:type="dxa"/>
            <w:vAlign w:val="center"/>
          </w:tcPr>
          <w:p>
            <w:pPr>
              <w:widowControl/>
              <w:spacing w:line="260" w:lineRule="exact"/>
              <w:ind w:right="-107" w:rightChars="-51"/>
              <w:jc w:val="center"/>
              <w:textAlignment w:val="bottom"/>
              <w:rPr>
                <w:rFonts w:ascii="仿宋" w:hAnsi="仿宋" w:eastAsia="仿宋" w:cs="仿宋"/>
                <w:szCs w:val="21"/>
              </w:rPr>
            </w:pP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4" w:type="dxa"/>
            <w:vAlign w:val="center"/>
          </w:tcPr>
          <w:p>
            <w:pPr>
              <w:widowControl/>
              <w:spacing w:line="260" w:lineRule="exact"/>
              <w:jc w:val="center"/>
              <w:textAlignment w:val="bottom"/>
              <w:rPr>
                <w:rFonts w:ascii="仿宋" w:hAnsi="仿宋" w:eastAsia="仿宋" w:cs="仿宋"/>
                <w:kern w:val="0"/>
                <w:szCs w:val="21"/>
              </w:rPr>
            </w:pPr>
            <w:r>
              <w:rPr>
                <w:rFonts w:hint="eastAsia" w:ascii="仿宋" w:hAnsi="仿宋" w:eastAsia="仿宋" w:cs="仿宋"/>
                <w:kern w:val="0"/>
                <w:szCs w:val="21"/>
              </w:rPr>
              <w:t>6</w:t>
            </w:r>
          </w:p>
        </w:tc>
        <w:tc>
          <w:tcPr>
            <w:tcW w:w="333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安装调试</w:t>
            </w:r>
          </w:p>
        </w:tc>
        <w:tc>
          <w:tcPr>
            <w:tcW w:w="165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项</w:t>
            </w:r>
          </w:p>
        </w:tc>
        <w:tc>
          <w:tcPr>
            <w:tcW w:w="1470" w:type="dxa"/>
            <w:vAlign w:val="center"/>
          </w:tcPr>
          <w:p>
            <w:pPr>
              <w:widowControl/>
              <w:tabs>
                <w:tab w:val="center" w:pos="0"/>
                <w:tab w:val="left" w:pos="153"/>
              </w:tabs>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1</w:t>
            </w:r>
          </w:p>
        </w:tc>
        <w:tc>
          <w:tcPr>
            <w:tcW w:w="1914" w:type="dxa"/>
            <w:vAlign w:val="center"/>
          </w:tcPr>
          <w:p>
            <w:pPr>
              <w:widowControl/>
              <w:spacing w:line="260" w:lineRule="exact"/>
              <w:ind w:right="-107" w:rightChars="-51"/>
              <w:jc w:val="center"/>
              <w:textAlignment w:val="bottom"/>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4" w:type="dxa"/>
            <w:vAlign w:val="center"/>
          </w:tcPr>
          <w:p>
            <w:pPr>
              <w:widowControl/>
              <w:spacing w:line="260" w:lineRule="exact"/>
              <w:jc w:val="center"/>
              <w:textAlignment w:val="bottom"/>
              <w:rPr>
                <w:rFonts w:ascii="仿宋" w:hAnsi="仿宋" w:eastAsia="仿宋" w:cs="仿宋"/>
                <w:kern w:val="0"/>
                <w:szCs w:val="21"/>
              </w:rPr>
            </w:pPr>
            <w:r>
              <w:rPr>
                <w:rFonts w:hint="eastAsia" w:ascii="仿宋" w:hAnsi="仿宋" w:eastAsia="仿宋" w:cs="仿宋"/>
                <w:kern w:val="0"/>
                <w:szCs w:val="21"/>
              </w:rPr>
              <w:t>7</w:t>
            </w:r>
          </w:p>
        </w:tc>
        <w:tc>
          <w:tcPr>
            <w:tcW w:w="333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比对验收</w:t>
            </w:r>
          </w:p>
        </w:tc>
        <w:tc>
          <w:tcPr>
            <w:tcW w:w="165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项</w:t>
            </w:r>
          </w:p>
        </w:tc>
        <w:tc>
          <w:tcPr>
            <w:tcW w:w="1470" w:type="dxa"/>
            <w:vAlign w:val="center"/>
          </w:tcPr>
          <w:p>
            <w:pPr>
              <w:widowControl/>
              <w:tabs>
                <w:tab w:val="center" w:pos="0"/>
                <w:tab w:val="left" w:pos="153"/>
              </w:tabs>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1</w:t>
            </w:r>
          </w:p>
        </w:tc>
        <w:tc>
          <w:tcPr>
            <w:tcW w:w="1914" w:type="dxa"/>
            <w:vAlign w:val="center"/>
          </w:tcPr>
          <w:p>
            <w:pPr>
              <w:widowControl/>
              <w:spacing w:line="260" w:lineRule="exact"/>
              <w:ind w:right="-107" w:rightChars="-51"/>
              <w:jc w:val="center"/>
              <w:textAlignment w:val="bottom"/>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4" w:type="dxa"/>
            <w:vAlign w:val="center"/>
          </w:tcPr>
          <w:p>
            <w:pPr>
              <w:widowControl/>
              <w:spacing w:line="260" w:lineRule="exact"/>
              <w:jc w:val="center"/>
              <w:textAlignment w:val="bottom"/>
              <w:rPr>
                <w:rFonts w:ascii="仿宋" w:hAnsi="仿宋" w:eastAsia="仿宋" w:cs="仿宋"/>
                <w:kern w:val="0"/>
                <w:szCs w:val="21"/>
              </w:rPr>
            </w:pPr>
            <w:r>
              <w:rPr>
                <w:rFonts w:hint="eastAsia" w:ascii="仿宋" w:hAnsi="仿宋" w:eastAsia="仿宋" w:cs="仿宋"/>
                <w:kern w:val="0"/>
                <w:szCs w:val="21"/>
              </w:rPr>
              <w:t>8</w:t>
            </w:r>
          </w:p>
        </w:tc>
        <w:tc>
          <w:tcPr>
            <w:tcW w:w="333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运行维护</w:t>
            </w:r>
          </w:p>
        </w:tc>
        <w:tc>
          <w:tcPr>
            <w:tcW w:w="165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年</w:t>
            </w:r>
          </w:p>
        </w:tc>
        <w:tc>
          <w:tcPr>
            <w:tcW w:w="1470" w:type="dxa"/>
            <w:vAlign w:val="center"/>
          </w:tcPr>
          <w:p>
            <w:pPr>
              <w:widowControl/>
              <w:tabs>
                <w:tab w:val="center" w:pos="0"/>
                <w:tab w:val="left" w:pos="153"/>
              </w:tabs>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1</w:t>
            </w:r>
          </w:p>
        </w:tc>
        <w:tc>
          <w:tcPr>
            <w:tcW w:w="1914" w:type="dxa"/>
            <w:vAlign w:val="center"/>
          </w:tcPr>
          <w:p>
            <w:pPr>
              <w:widowControl/>
              <w:spacing w:line="260" w:lineRule="exact"/>
              <w:ind w:right="-107" w:rightChars="-51"/>
              <w:jc w:val="center"/>
              <w:textAlignment w:val="bottom"/>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4" w:type="dxa"/>
            <w:vAlign w:val="center"/>
          </w:tcPr>
          <w:p>
            <w:pPr>
              <w:widowControl/>
              <w:spacing w:line="260" w:lineRule="exact"/>
              <w:jc w:val="center"/>
              <w:textAlignment w:val="bottom"/>
              <w:rPr>
                <w:rFonts w:ascii="仿宋" w:hAnsi="仿宋" w:eastAsia="仿宋" w:cs="仿宋"/>
                <w:kern w:val="0"/>
                <w:szCs w:val="21"/>
              </w:rPr>
            </w:pPr>
            <w:r>
              <w:rPr>
                <w:rFonts w:hint="eastAsia" w:ascii="仿宋" w:hAnsi="仿宋" w:eastAsia="仿宋" w:cs="仿宋"/>
                <w:kern w:val="0"/>
                <w:szCs w:val="21"/>
              </w:rPr>
              <w:t>9</w:t>
            </w:r>
          </w:p>
        </w:tc>
        <w:tc>
          <w:tcPr>
            <w:tcW w:w="333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流量计移机</w:t>
            </w:r>
          </w:p>
        </w:tc>
        <w:tc>
          <w:tcPr>
            <w:tcW w:w="1650" w:type="dxa"/>
            <w:vAlign w:val="center"/>
          </w:tcPr>
          <w:p>
            <w:pPr>
              <w:widowControl/>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项</w:t>
            </w:r>
          </w:p>
        </w:tc>
        <w:tc>
          <w:tcPr>
            <w:tcW w:w="1470" w:type="dxa"/>
            <w:vAlign w:val="center"/>
          </w:tcPr>
          <w:p>
            <w:pPr>
              <w:widowControl/>
              <w:tabs>
                <w:tab w:val="center" w:pos="0"/>
                <w:tab w:val="left" w:pos="153"/>
              </w:tabs>
              <w:spacing w:line="260" w:lineRule="exact"/>
              <w:ind w:right="-107" w:rightChars="-51"/>
              <w:jc w:val="center"/>
              <w:textAlignment w:val="bottom"/>
              <w:rPr>
                <w:rFonts w:ascii="仿宋" w:hAnsi="仿宋" w:eastAsia="仿宋" w:cs="仿宋"/>
                <w:kern w:val="0"/>
                <w:szCs w:val="21"/>
              </w:rPr>
            </w:pPr>
            <w:r>
              <w:rPr>
                <w:rFonts w:hint="eastAsia" w:ascii="仿宋" w:hAnsi="仿宋" w:eastAsia="仿宋" w:cs="仿宋"/>
                <w:kern w:val="0"/>
                <w:szCs w:val="21"/>
              </w:rPr>
              <w:t>1</w:t>
            </w:r>
          </w:p>
        </w:tc>
        <w:tc>
          <w:tcPr>
            <w:tcW w:w="1914" w:type="dxa"/>
            <w:vAlign w:val="center"/>
          </w:tcPr>
          <w:p>
            <w:pPr>
              <w:widowControl/>
              <w:spacing w:line="260" w:lineRule="exact"/>
              <w:ind w:right="-107" w:rightChars="-51"/>
              <w:jc w:val="center"/>
              <w:textAlignment w:val="bottom"/>
              <w:rPr>
                <w:rFonts w:ascii="仿宋" w:hAnsi="仿宋" w:eastAsia="仿宋" w:cs="仿宋"/>
                <w:kern w:val="0"/>
                <w:szCs w:val="21"/>
              </w:rPr>
            </w:pPr>
          </w:p>
        </w:tc>
      </w:tr>
    </w:tbl>
    <w:p>
      <w:pPr>
        <w:snapToGrid w:val="0"/>
        <w:spacing w:line="560" w:lineRule="exact"/>
        <w:ind w:firstLine="560" w:firstLineChars="200"/>
        <w:rPr>
          <w:rFonts w:ascii="方正仿宋_GBK" w:hAnsi="宋体" w:eastAsia="方正仿宋_GBK"/>
          <w:color w:val="000000" w:themeColor="text1"/>
          <w:sz w:val="28"/>
          <w:szCs w:val="28"/>
        </w:rPr>
      </w:pPr>
    </w:p>
    <w:p>
      <w:pPr>
        <w:spacing w:line="500" w:lineRule="exact"/>
        <w:ind w:firstLine="600" w:firstLineChars="250"/>
        <w:rPr>
          <w:rFonts w:ascii="仿宋" w:hAnsi="仿宋" w:eastAsia="仿宋"/>
          <w:sz w:val="24"/>
          <w:szCs w:val="28"/>
        </w:rPr>
      </w:pPr>
      <w:r>
        <w:rPr>
          <w:rFonts w:hint="eastAsia" w:ascii="仿宋" w:hAnsi="仿宋" w:eastAsia="仿宋"/>
          <w:sz w:val="24"/>
          <w:szCs w:val="28"/>
        </w:rPr>
        <w:t>投标人：                           法定代表人或法定代表人授权代表：</w:t>
      </w:r>
    </w:p>
    <w:p>
      <w:pPr>
        <w:spacing w:line="500" w:lineRule="exact"/>
        <w:rPr>
          <w:rFonts w:ascii="仿宋" w:hAnsi="仿宋" w:eastAsia="仿宋"/>
          <w:sz w:val="24"/>
          <w:szCs w:val="28"/>
        </w:rPr>
      </w:pPr>
      <w:r>
        <w:rPr>
          <w:rFonts w:hint="eastAsia" w:ascii="仿宋" w:hAnsi="仿宋" w:eastAsia="仿宋"/>
          <w:sz w:val="24"/>
          <w:szCs w:val="28"/>
        </w:rPr>
        <w:t xml:space="preserve">  （投标人公章）                               （签字或盖章）</w:t>
      </w:r>
    </w:p>
    <w:p>
      <w:pPr>
        <w:snapToGrid w:val="0"/>
        <w:spacing w:line="560" w:lineRule="exact"/>
        <w:ind w:firstLine="560" w:firstLineChars="200"/>
        <w:rPr>
          <w:rFonts w:ascii="方正仿宋_GBK" w:hAnsi="宋体" w:eastAsia="方正仿宋_GBK"/>
          <w:color w:val="000000" w:themeColor="text1"/>
          <w:sz w:val="28"/>
          <w:szCs w:val="28"/>
        </w:rPr>
      </w:pPr>
    </w:p>
    <w:p>
      <w:pPr>
        <w:snapToGrid w:val="0"/>
        <w:spacing w:line="500" w:lineRule="exact"/>
        <w:ind w:firstLine="480" w:firstLineChars="200"/>
        <w:rPr>
          <w:rFonts w:ascii="仿宋" w:hAnsi="仿宋" w:eastAsia="仿宋"/>
          <w:sz w:val="24"/>
          <w:szCs w:val="28"/>
        </w:rPr>
      </w:pPr>
      <w:r>
        <w:rPr>
          <w:rFonts w:hint="eastAsia" w:ascii="仿宋" w:hAnsi="仿宋" w:eastAsia="仿宋"/>
          <w:sz w:val="24"/>
          <w:szCs w:val="28"/>
        </w:rPr>
        <w:t xml:space="preserve">                                         年     月     日</w:t>
      </w:r>
    </w:p>
    <w:p>
      <w:pPr>
        <w:snapToGrid w:val="0"/>
        <w:spacing w:line="500" w:lineRule="exact"/>
        <w:ind w:firstLine="480" w:firstLineChars="200"/>
        <w:rPr>
          <w:rFonts w:ascii="仿宋" w:hAnsi="仿宋" w:eastAsia="仿宋"/>
          <w:sz w:val="24"/>
          <w:szCs w:val="28"/>
        </w:rPr>
      </w:pPr>
    </w:p>
    <w:p>
      <w:pPr>
        <w:snapToGrid w:val="0"/>
        <w:spacing w:line="500" w:lineRule="exact"/>
        <w:ind w:firstLine="480" w:firstLineChars="200"/>
        <w:rPr>
          <w:rFonts w:ascii="仿宋" w:hAnsi="仿宋" w:eastAsia="仿宋"/>
          <w:sz w:val="24"/>
          <w:szCs w:val="28"/>
        </w:rPr>
      </w:pPr>
      <w:r>
        <w:rPr>
          <w:rFonts w:hint="eastAsia" w:ascii="仿宋" w:hAnsi="仿宋" w:eastAsia="仿宋"/>
          <w:sz w:val="24"/>
          <w:szCs w:val="28"/>
        </w:rPr>
        <w:t>注：</w:t>
      </w:r>
    </w:p>
    <w:p>
      <w:pPr>
        <w:snapToGrid w:val="0"/>
        <w:spacing w:line="500" w:lineRule="exact"/>
        <w:ind w:firstLine="480" w:firstLineChars="200"/>
        <w:rPr>
          <w:rFonts w:ascii="仿宋" w:hAnsi="仿宋" w:eastAsia="仿宋"/>
          <w:sz w:val="24"/>
          <w:szCs w:val="28"/>
        </w:rPr>
      </w:pPr>
      <w:r>
        <w:rPr>
          <w:rFonts w:hint="eastAsia" w:ascii="仿宋" w:hAnsi="仿宋" w:eastAsia="仿宋"/>
          <w:sz w:val="24"/>
          <w:szCs w:val="28"/>
        </w:rPr>
        <w:t>1.请投标人完整填写本表；</w:t>
      </w:r>
    </w:p>
    <w:p>
      <w:pPr>
        <w:snapToGrid w:val="0"/>
        <w:spacing w:line="500" w:lineRule="exact"/>
        <w:ind w:firstLine="480" w:firstLineChars="200"/>
        <w:rPr>
          <w:rFonts w:ascii="仿宋" w:hAnsi="仿宋" w:eastAsia="仿宋"/>
          <w:sz w:val="24"/>
          <w:szCs w:val="28"/>
        </w:rPr>
      </w:pPr>
      <w:r>
        <w:rPr>
          <w:rFonts w:hint="eastAsia" w:ascii="仿宋" w:hAnsi="仿宋" w:eastAsia="仿宋"/>
          <w:sz w:val="24"/>
          <w:szCs w:val="28"/>
        </w:rPr>
        <w:t>2.该表可扩展，并逐页签字或盖章。</w:t>
      </w:r>
    </w:p>
    <w:p>
      <w:pPr>
        <w:ind w:firstLine="480" w:firstLineChars="200"/>
        <w:rPr>
          <w:rFonts w:ascii="仿宋" w:hAnsi="仿宋" w:eastAsia="仿宋"/>
          <w:sz w:val="24"/>
          <w:szCs w:val="28"/>
        </w:rPr>
      </w:pPr>
      <w:r>
        <w:rPr>
          <w:rFonts w:hint="eastAsia" w:ascii="仿宋" w:hAnsi="仿宋" w:eastAsia="仿宋" w:cs="宋体"/>
          <w:kern w:val="0"/>
          <w:sz w:val="24"/>
          <w:highlight w:val="yellow"/>
        </w:rPr>
        <w:t>3.投标人</w:t>
      </w:r>
      <w:r>
        <w:rPr>
          <w:rFonts w:hint="eastAsia" w:ascii="仿宋" w:hAnsi="仿宋" w:eastAsia="仿宋"/>
          <w:sz w:val="24"/>
          <w:szCs w:val="28"/>
        </w:rPr>
        <w:t>须按“江北区中医院自动监测站在线监测设备及站房维修改造外包服务范围</w:t>
      </w:r>
      <w:r>
        <w:rPr>
          <w:rFonts w:hint="eastAsia" w:ascii="仿宋" w:hAnsi="仿宋" w:eastAsia="仿宋" w:cs="宋体"/>
          <w:kern w:val="0"/>
          <w:sz w:val="24"/>
          <w:highlight w:val="yellow"/>
        </w:rPr>
        <w:t>清单”进行分项报价，且分项报价金额总和须与本项目投标总报价一致。</w:t>
      </w:r>
    </w:p>
    <w:p>
      <w:pPr>
        <w:snapToGrid w:val="0"/>
        <w:spacing w:line="560" w:lineRule="exact"/>
        <w:ind w:firstLine="560" w:firstLineChars="200"/>
        <w:rPr>
          <w:rFonts w:ascii="方正仿宋_GBK" w:hAnsi="宋体" w:eastAsia="方正仿宋_GBK"/>
          <w:color w:val="000000" w:themeColor="text1"/>
          <w:sz w:val="28"/>
          <w:szCs w:val="28"/>
        </w:rPr>
      </w:pPr>
    </w:p>
    <w:p>
      <w:pPr>
        <w:snapToGrid w:val="0"/>
        <w:spacing w:line="560" w:lineRule="exact"/>
        <w:ind w:firstLine="560" w:firstLineChars="200"/>
        <w:rPr>
          <w:rFonts w:ascii="方正仿宋_GBK" w:hAnsi="宋体" w:eastAsia="方正仿宋_GBK"/>
          <w:color w:val="000000" w:themeColor="text1"/>
          <w:sz w:val="28"/>
          <w:szCs w:val="28"/>
        </w:rPr>
      </w:pPr>
    </w:p>
    <w:p>
      <w:pPr>
        <w:snapToGrid w:val="0"/>
        <w:spacing w:line="560" w:lineRule="exact"/>
        <w:ind w:firstLine="560" w:firstLineChars="200"/>
        <w:rPr>
          <w:rFonts w:ascii="方正仿宋_GBK" w:hAnsi="宋体" w:eastAsia="方正仿宋_GBK"/>
          <w:color w:val="000000" w:themeColor="text1"/>
          <w:sz w:val="28"/>
          <w:szCs w:val="28"/>
        </w:rPr>
      </w:pPr>
    </w:p>
    <w:p>
      <w:pPr>
        <w:pStyle w:val="4"/>
        <w:spacing w:before="0" w:after="0" w:line="560" w:lineRule="exact"/>
        <w:rPr>
          <w:rFonts w:ascii="方正仿宋_GBK" w:hAnsi="宋体" w:eastAsia="方正仿宋_GBK"/>
          <w:b w:val="0"/>
          <w:sz w:val="28"/>
          <w:szCs w:val="28"/>
        </w:rPr>
      </w:pPr>
    </w:p>
    <w:p>
      <w:pPr>
        <w:pStyle w:val="4"/>
        <w:spacing w:before="0" w:after="0" w:line="560" w:lineRule="exact"/>
        <w:rPr>
          <w:rFonts w:ascii="方正仿宋_GBK" w:hAnsi="宋体" w:eastAsia="方正仿宋_GBK"/>
          <w:b w:val="0"/>
          <w:sz w:val="28"/>
          <w:szCs w:val="28"/>
        </w:rPr>
      </w:pPr>
      <w:r>
        <w:rPr>
          <w:rFonts w:hint="eastAsia" w:ascii="方正仿宋_GBK" w:hAnsi="宋体" w:eastAsia="方正仿宋_GBK"/>
          <w:b w:val="0"/>
          <w:sz w:val="28"/>
          <w:szCs w:val="28"/>
        </w:rPr>
        <w:t>二、技术部分</w:t>
      </w:r>
    </w:p>
    <w:p>
      <w:pPr>
        <w:snapToGrid w:val="0"/>
        <w:spacing w:line="360" w:lineRule="auto"/>
        <w:jc w:val="center"/>
        <w:rPr>
          <w:rFonts w:ascii="方正仿宋_GBK" w:hAnsi="宋体" w:eastAsia="方正仿宋_GBK"/>
          <w:sz w:val="24"/>
        </w:rPr>
      </w:pPr>
      <w:r>
        <w:rPr>
          <w:rFonts w:hint="eastAsia" w:ascii="方正仿宋_GBK" w:hAnsi="宋体" w:eastAsia="方正仿宋_GBK"/>
          <w:sz w:val="24"/>
        </w:rPr>
        <w:t>（一）技术应答（格式自定）</w:t>
      </w:r>
    </w:p>
    <w:p>
      <w:pPr>
        <w:snapToGrid w:val="0"/>
        <w:spacing w:line="560" w:lineRule="exact"/>
        <w:jc w:val="left"/>
        <w:rPr>
          <w:rFonts w:ascii="方正仿宋_GBK" w:hAnsi="宋体" w:eastAsia="方正仿宋_GBK"/>
          <w:sz w:val="28"/>
          <w:szCs w:val="28"/>
        </w:rPr>
      </w:pPr>
      <w:r>
        <w:rPr>
          <w:rFonts w:hint="eastAsia" w:ascii="方正仿宋_GBK" w:hAnsi="宋体" w:eastAsia="方正仿宋_GBK"/>
          <w:sz w:val="28"/>
          <w:szCs w:val="28"/>
        </w:rPr>
        <w:t xml:space="preserve"> </w:t>
      </w: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sz w:val="24"/>
        </w:rPr>
        <w:t>（二）技术响应偏离表</w:t>
      </w:r>
    </w:p>
    <w:p>
      <w:pPr>
        <w:pStyle w:val="32"/>
        <w:tabs>
          <w:tab w:val="left" w:pos="6300"/>
        </w:tabs>
        <w:snapToGrid w:val="0"/>
        <w:spacing w:line="500" w:lineRule="exact"/>
        <w:ind w:firstLine="480" w:firstLineChars="200"/>
        <w:outlineLvl w:val="0"/>
        <w:rPr>
          <w:rFonts w:ascii="方正仿宋_GBK" w:hAnsi="宋体" w:eastAsia="方正仿宋_GBK"/>
          <w:sz w:val="24"/>
        </w:rPr>
      </w:pPr>
      <w:r>
        <w:rPr>
          <w:rFonts w:hint="eastAsia" w:ascii="方正仿宋_GBK" w:hAnsi="宋体" w:eastAsia="方正仿宋_GBK"/>
          <w:sz w:val="24"/>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Cs w:val="21"/>
              </w:rPr>
            </w:pPr>
            <w:r>
              <w:rPr>
                <w:rFonts w:hint="eastAsia" w:ascii="方正仿宋_GBK" w:hAnsi="宋体" w:eastAsia="方正仿宋_GBK"/>
                <w:szCs w:val="21"/>
              </w:rPr>
              <w:t>序号</w:t>
            </w:r>
          </w:p>
        </w:tc>
        <w:tc>
          <w:tcPr>
            <w:tcW w:w="2658" w:type="dxa"/>
            <w:vAlign w:val="center"/>
          </w:tcPr>
          <w:p>
            <w:pPr>
              <w:tabs>
                <w:tab w:val="left" w:pos="6300"/>
              </w:tabs>
              <w:snapToGrid w:val="0"/>
              <w:spacing w:line="500" w:lineRule="exact"/>
              <w:jc w:val="center"/>
              <w:outlineLvl w:val="0"/>
              <w:rPr>
                <w:rFonts w:ascii="方正仿宋_GBK" w:hAnsi="宋体" w:eastAsia="方正仿宋_GBK"/>
                <w:szCs w:val="21"/>
              </w:rPr>
            </w:pPr>
            <w:r>
              <w:rPr>
                <w:rFonts w:hint="eastAsia" w:ascii="方正仿宋_GBK" w:hAnsi="宋体" w:eastAsia="方正仿宋_GBK"/>
                <w:szCs w:val="21"/>
              </w:rPr>
              <w:t>采购需求</w:t>
            </w:r>
          </w:p>
        </w:tc>
        <w:tc>
          <w:tcPr>
            <w:tcW w:w="2759" w:type="dxa"/>
            <w:vAlign w:val="center"/>
          </w:tcPr>
          <w:p>
            <w:pPr>
              <w:tabs>
                <w:tab w:val="left" w:pos="6300"/>
              </w:tabs>
              <w:snapToGrid w:val="0"/>
              <w:spacing w:line="500" w:lineRule="exact"/>
              <w:jc w:val="center"/>
              <w:outlineLvl w:val="0"/>
              <w:rPr>
                <w:rFonts w:ascii="方正仿宋_GBK" w:hAnsi="宋体" w:eastAsia="方正仿宋_GBK"/>
                <w:szCs w:val="21"/>
              </w:rPr>
            </w:pPr>
            <w:r>
              <w:rPr>
                <w:rFonts w:hint="eastAsia" w:ascii="方正仿宋_GBK" w:hAnsi="宋体" w:eastAsia="方正仿宋_GBK"/>
                <w:szCs w:val="21"/>
              </w:rPr>
              <w:t>响应情况</w:t>
            </w:r>
          </w:p>
        </w:tc>
        <w:tc>
          <w:tcPr>
            <w:tcW w:w="2067" w:type="dxa"/>
            <w:vAlign w:val="center"/>
          </w:tcPr>
          <w:p>
            <w:pPr>
              <w:tabs>
                <w:tab w:val="left" w:pos="6300"/>
              </w:tabs>
              <w:snapToGrid w:val="0"/>
              <w:spacing w:line="500" w:lineRule="exact"/>
              <w:jc w:val="center"/>
              <w:outlineLvl w:val="0"/>
              <w:rPr>
                <w:rFonts w:ascii="方正仿宋_GBK" w:hAnsi="宋体" w:eastAsia="方正仿宋_GBK"/>
                <w:szCs w:val="21"/>
              </w:rPr>
            </w:pPr>
            <w:r>
              <w:rPr>
                <w:rFonts w:hint="eastAsia" w:ascii="方正仿宋_GBK" w:hAnsi="宋体" w:eastAsia="方正仿宋_GBK"/>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1.本表即为对本项目“第三篇  谈判项目技术需求”中所列技术要求进行比较和响应；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2.该表必须按照竞争性谈判要求逐条如实填写，根据响应情况在“差异说明”项填写正偏离或负偏离及原因，完全符合的填写“无差异”；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5.若“响应情况”栏中仅填写“无偏离”或“有偏离”等内容而未作实质性参数描述，该供应商将失去成为成交供应商的资格，仅保留其合格供应商的身份。</w:t>
      </w:r>
    </w:p>
    <w:p>
      <w:pPr>
        <w:pStyle w:val="4"/>
        <w:spacing w:before="0" w:after="0" w:line="360" w:lineRule="auto"/>
        <w:rPr>
          <w:rFonts w:ascii="方正仿宋_GBK" w:hAnsi="宋体" w:eastAsia="方正仿宋_GBK"/>
          <w:sz w:val="24"/>
          <w:szCs w:val="24"/>
        </w:rPr>
      </w:pPr>
      <w:r>
        <w:rPr>
          <w:rFonts w:ascii="方正仿宋_GBK" w:eastAsia="方正仿宋_GBK"/>
          <w:b w:val="0"/>
        </w:rPr>
        <w:br w:type="page"/>
      </w:r>
      <w:bookmarkStart w:id="70" w:name="_Toc518028924"/>
      <w:bookmarkStart w:id="71" w:name="_Toc475106751"/>
      <w:r>
        <w:rPr>
          <w:rFonts w:hint="eastAsia" w:ascii="方正仿宋_GBK" w:hAnsi="宋体" w:eastAsia="方正仿宋_GBK"/>
          <w:sz w:val="24"/>
          <w:szCs w:val="24"/>
        </w:rPr>
        <w:t>三、服务部分</w:t>
      </w:r>
      <w:bookmarkEnd w:id="70"/>
      <w:bookmarkEnd w:id="71"/>
    </w:p>
    <w:p>
      <w:pPr>
        <w:snapToGrid w:val="0"/>
        <w:spacing w:line="360" w:lineRule="auto"/>
        <w:ind w:firstLine="480" w:firstLineChars="200"/>
        <w:rPr>
          <w:rFonts w:ascii="方正仿宋_GBK" w:eastAsia="方正仿宋_GBK"/>
          <w:b/>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（一）服务要求响应情况：交货时间、交货地点、服务条款等（格式自定）</w:t>
      </w:r>
    </w:p>
    <w:p>
      <w:pPr>
        <w:spacing w:line="360" w:lineRule="auto"/>
        <w:ind w:firstLine="480" w:firstLineChars="200"/>
        <w:rPr>
          <w:rFonts w:ascii="方正仿宋_GBK" w:hAnsi="宋体" w:eastAsia="方正仿宋_GBK"/>
          <w:sz w:val="24"/>
        </w:rPr>
      </w:pPr>
      <w:bookmarkStart w:id="72" w:name="_Toc283382459"/>
      <w:r>
        <w:rPr>
          <w:rFonts w:hint="eastAsia" w:ascii="方正仿宋_GBK" w:hAnsi="宋体" w:eastAsia="方正仿宋_GBK"/>
          <w:sz w:val="24"/>
        </w:rPr>
        <w:t>（二）服务响应偏离表</w:t>
      </w:r>
    </w:p>
    <w:p>
      <w:pPr>
        <w:snapToGrid w:val="0"/>
        <w:spacing w:line="360" w:lineRule="auto"/>
        <w:jc w:val="center"/>
        <w:rPr>
          <w:rFonts w:ascii="方正仿宋_GBK" w:hAnsi="宋体" w:eastAsia="方正仿宋_GBK"/>
          <w:b/>
          <w:szCs w:val="28"/>
        </w:rPr>
      </w:pPr>
      <w:r>
        <w:rPr>
          <w:rFonts w:hint="eastAsia" w:ascii="方正仿宋_GBK" w:hAnsi="宋体" w:eastAsia="方正仿宋_GBK"/>
          <w:b/>
          <w:szCs w:val="28"/>
        </w:rPr>
        <w:t>服务响应偏离表（本表可自行设计格式）</w:t>
      </w:r>
    </w:p>
    <w:p>
      <w:pPr>
        <w:snapToGrid w:val="0"/>
        <w:spacing w:line="360" w:lineRule="auto"/>
        <w:ind w:firstLine="465"/>
        <w:rPr>
          <w:rFonts w:ascii="方正仿宋_GBK" w:hAnsi="宋体" w:eastAsia="方正仿宋_GBK"/>
          <w:sz w:val="24"/>
        </w:rPr>
      </w:pPr>
      <w:r>
        <w:rPr>
          <w:rFonts w:hint="eastAsia" w:ascii="方正仿宋_GBK" w:hAnsi="宋体" w:eastAsia="方正仿宋_GBK"/>
          <w:sz w:val="24"/>
        </w:rPr>
        <w:t>对于竞争性磋商文件的服务要求，如有任何偏离请如实填写下表：</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rPr>
            </w:pPr>
            <w:r>
              <w:rPr>
                <w:rFonts w:hint="eastAsia" w:ascii="方正仿宋_GBK" w:hAnsi="宋体" w:eastAsia="方正仿宋_GBK"/>
              </w:rPr>
              <w:t>序号</w:t>
            </w:r>
          </w:p>
        </w:tc>
        <w:tc>
          <w:tcPr>
            <w:tcW w:w="3179" w:type="dxa"/>
            <w:vAlign w:val="center"/>
          </w:tcPr>
          <w:p>
            <w:pPr>
              <w:tabs>
                <w:tab w:val="left" w:pos="6300"/>
              </w:tabs>
              <w:snapToGrid w:val="0"/>
              <w:spacing w:line="360" w:lineRule="auto"/>
              <w:jc w:val="center"/>
              <w:outlineLvl w:val="0"/>
              <w:rPr>
                <w:rFonts w:ascii="方正仿宋_GBK" w:hAnsi="宋体" w:eastAsia="方正仿宋_GBK"/>
              </w:rPr>
            </w:pPr>
            <w:r>
              <w:rPr>
                <w:rFonts w:hint="eastAsia" w:ascii="方正仿宋_GBK" w:hAnsi="宋体" w:eastAsia="方正仿宋_GBK"/>
              </w:rPr>
              <w:t>磋商项目需求</w:t>
            </w:r>
          </w:p>
        </w:tc>
        <w:tc>
          <w:tcPr>
            <w:tcW w:w="2434" w:type="dxa"/>
            <w:vAlign w:val="center"/>
          </w:tcPr>
          <w:p>
            <w:pPr>
              <w:tabs>
                <w:tab w:val="left" w:pos="6300"/>
              </w:tabs>
              <w:snapToGrid w:val="0"/>
              <w:spacing w:line="360" w:lineRule="auto"/>
              <w:jc w:val="center"/>
              <w:outlineLvl w:val="0"/>
              <w:rPr>
                <w:rFonts w:ascii="方正仿宋_GBK" w:hAnsi="宋体" w:eastAsia="方正仿宋_GBK"/>
              </w:rPr>
            </w:pPr>
            <w:r>
              <w:rPr>
                <w:rFonts w:hint="eastAsia" w:ascii="方正仿宋_GBK" w:hAnsi="宋体" w:eastAsia="方正仿宋_GBK"/>
              </w:rPr>
              <w:t>响应情况</w:t>
            </w:r>
          </w:p>
        </w:tc>
        <w:tc>
          <w:tcPr>
            <w:tcW w:w="2355" w:type="dxa"/>
            <w:vAlign w:val="center"/>
          </w:tcPr>
          <w:p>
            <w:pPr>
              <w:tabs>
                <w:tab w:val="left" w:pos="6300"/>
              </w:tabs>
              <w:snapToGrid w:val="0"/>
              <w:spacing w:line="360" w:lineRule="auto"/>
              <w:jc w:val="center"/>
              <w:outlineLvl w:val="0"/>
              <w:rPr>
                <w:rFonts w:ascii="方正仿宋_GBK" w:hAnsi="宋体" w:eastAsia="方正仿宋_GBK"/>
              </w:rPr>
            </w:pPr>
            <w:r>
              <w:rPr>
                <w:rFonts w:hint="eastAsia" w:ascii="方正仿宋_GBK" w:hAnsi="宋体" w:eastAsia="方正仿宋_GBK"/>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rPr>
            </w:pPr>
          </w:p>
        </w:tc>
        <w:tc>
          <w:tcPr>
            <w:tcW w:w="3179" w:type="dxa"/>
            <w:vAlign w:val="center"/>
          </w:tcPr>
          <w:p>
            <w:pPr>
              <w:tabs>
                <w:tab w:val="left" w:pos="6300"/>
              </w:tabs>
              <w:snapToGrid w:val="0"/>
              <w:spacing w:line="360" w:lineRule="auto"/>
              <w:jc w:val="center"/>
              <w:outlineLvl w:val="0"/>
              <w:rPr>
                <w:rFonts w:ascii="方正仿宋_GBK" w:hAnsi="宋体" w:eastAsia="方正仿宋_GBK"/>
              </w:rPr>
            </w:pPr>
          </w:p>
        </w:tc>
        <w:tc>
          <w:tcPr>
            <w:tcW w:w="2434" w:type="dxa"/>
            <w:vAlign w:val="center"/>
          </w:tcPr>
          <w:p>
            <w:pPr>
              <w:tabs>
                <w:tab w:val="left" w:pos="6300"/>
              </w:tabs>
              <w:snapToGrid w:val="0"/>
              <w:spacing w:line="360" w:lineRule="auto"/>
              <w:jc w:val="center"/>
              <w:outlineLvl w:val="0"/>
              <w:rPr>
                <w:rFonts w:ascii="方正仿宋_GBK" w:hAnsi="宋体" w:eastAsia="方正仿宋_GBK"/>
              </w:rPr>
            </w:pPr>
          </w:p>
        </w:tc>
        <w:tc>
          <w:tcPr>
            <w:tcW w:w="2355" w:type="dxa"/>
            <w:vAlign w:val="center"/>
          </w:tcPr>
          <w:p>
            <w:pPr>
              <w:tabs>
                <w:tab w:val="left" w:pos="6300"/>
              </w:tabs>
              <w:snapToGrid w:val="0"/>
              <w:spacing w:line="360" w:lineRule="auto"/>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rPr>
            </w:pPr>
          </w:p>
        </w:tc>
        <w:tc>
          <w:tcPr>
            <w:tcW w:w="3179" w:type="dxa"/>
            <w:vAlign w:val="center"/>
          </w:tcPr>
          <w:p>
            <w:pPr>
              <w:tabs>
                <w:tab w:val="left" w:pos="6300"/>
              </w:tabs>
              <w:snapToGrid w:val="0"/>
              <w:spacing w:line="360" w:lineRule="auto"/>
              <w:jc w:val="center"/>
              <w:outlineLvl w:val="0"/>
              <w:rPr>
                <w:rFonts w:ascii="方正仿宋_GBK" w:hAnsi="宋体" w:eastAsia="方正仿宋_GBK"/>
              </w:rPr>
            </w:pPr>
          </w:p>
        </w:tc>
        <w:tc>
          <w:tcPr>
            <w:tcW w:w="2434" w:type="dxa"/>
            <w:vAlign w:val="center"/>
          </w:tcPr>
          <w:p>
            <w:pPr>
              <w:tabs>
                <w:tab w:val="left" w:pos="6300"/>
              </w:tabs>
              <w:snapToGrid w:val="0"/>
              <w:spacing w:line="360" w:lineRule="auto"/>
              <w:jc w:val="center"/>
              <w:outlineLvl w:val="0"/>
              <w:rPr>
                <w:rFonts w:ascii="方正仿宋_GBK" w:hAnsi="宋体" w:eastAsia="方正仿宋_GBK"/>
              </w:rPr>
            </w:pPr>
          </w:p>
        </w:tc>
        <w:tc>
          <w:tcPr>
            <w:tcW w:w="2355" w:type="dxa"/>
            <w:vAlign w:val="center"/>
          </w:tcPr>
          <w:p>
            <w:pPr>
              <w:tabs>
                <w:tab w:val="left" w:pos="6300"/>
              </w:tabs>
              <w:snapToGrid w:val="0"/>
              <w:spacing w:line="360" w:lineRule="auto"/>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rPr>
            </w:pPr>
          </w:p>
        </w:tc>
        <w:tc>
          <w:tcPr>
            <w:tcW w:w="3179" w:type="dxa"/>
            <w:vAlign w:val="center"/>
          </w:tcPr>
          <w:p>
            <w:pPr>
              <w:tabs>
                <w:tab w:val="left" w:pos="6300"/>
              </w:tabs>
              <w:snapToGrid w:val="0"/>
              <w:spacing w:line="360" w:lineRule="auto"/>
              <w:jc w:val="center"/>
              <w:outlineLvl w:val="0"/>
              <w:rPr>
                <w:rFonts w:ascii="方正仿宋_GBK" w:hAnsi="宋体" w:eastAsia="方正仿宋_GBK"/>
              </w:rPr>
            </w:pPr>
          </w:p>
        </w:tc>
        <w:tc>
          <w:tcPr>
            <w:tcW w:w="2434" w:type="dxa"/>
            <w:vAlign w:val="center"/>
          </w:tcPr>
          <w:p>
            <w:pPr>
              <w:tabs>
                <w:tab w:val="left" w:pos="6300"/>
              </w:tabs>
              <w:snapToGrid w:val="0"/>
              <w:spacing w:line="360" w:lineRule="auto"/>
              <w:jc w:val="center"/>
              <w:outlineLvl w:val="0"/>
              <w:rPr>
                <w:rFonts w:ascii="方正仿宋_GBK" w:hAnsi="宋体" w:eastAsia="方正仿宋_GBK"/>
              </w:rPr>
            </w:pPr>
          </w:p>
        </w:tc>
        <w:tc>
          <w:tcPr>
            <w:tcW w:w="2355" w:type="dxa"/>
            <w:vAlign w:val="center"/>
          </w:tcPr>
          <w:p>
            <w:pPr>
              <w:tabs>
                <w:tab w:val="left" w:pos="6300"/>
              </w:tabs>
              <w:snapToGrid w:val="0"/>
              <w:spacing w:line="360" w:lineRule="auto"/>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rPr>
            </w:pPr>
          </w:p>
        </w:tc>
        <w:tc>
          <w:tcPr>
            <w:tcW w:w="3179" w:type="dxa"/>
            <w:vAlign w:val="center"/>
          </w:tcPr>
          <w:p>
            <w:pPr>
              <w:tabs>
                <w:tab w:val="left" w:pos="6300"/>
              </w:tabs>
              <w:snapToGrid w:val="0"/>
              <w:spacing w:line="360" w:lineRule="auto"/>
              <w:jc w:val="center"/>
              <w:outlineLvl w:val="0"/>
              <w:rPr>
                <w:rFonts w:ascii="方正仿宋_GBK" w:hAnsi="宋体" w:eastAsia="方正仿宋_GBK"/>
              </w:rPr>
            </w:pPr>
          </w:p>
        </w:tc>
        <w:tc>
          <w:tcPr>
            <w:tcW w:w="2434" w:type="dxa"/>
            <w:vAlign w:val="center"/>
          </w:tcPr>
          <w:p>
            <w:pPr>
              <w:tabs>
                <w:tab w:val="left" w:pos="6300"/>
              </w:tabs>
              <w:snapToGrid w:val="0"/>
              <w:spacing w:line="360" w:lineRule="auto"/>
              <w:jc w:val="center"/>
              <w:outlineLvl w:val="0"/>
              <w:rPr>
                <w:rFonts w:ascii="方正仿宋_GBK" w:hAnsi="宋体" w:eastAsia="方正仿宋_GBK"/>
              </w:rPr>
            </w:pPr>
          </w:p>
        </w:tc>
        <w:tc>
          <w:tcPr>
            <w:tcW w:w="2355" w:type="dxa"/>
            <w:vAlign w:val="center"/>
          </w:tcPr>
          <w:p>
            <w:pPr>
              <w:tabs>
                <w:tab w:val="left" w:pos="6300"/>
              </w:tabs>
              <w:snapToGrid w:val="0"/>
              <w:spacing w:line="360" w:lineRule="auto"/>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rPr>
            </w:pPr>
          </w:p>
        </w:tc>
        <w:tc>
          <w:tcPr>
            <w:tcW w:w="3179" w:type="dxa"/>
            <w:vAlign w:val="center"/>
          </w:tcPr>
          <w:p>
            <w:pPr>
              <w:tabs>
                <w:tab w:val="left" w:pos="6300"/>
              </w:tabs>
              <w:snapToGrid w:val="0"/>
              <w:spacing w:line="360" w:lineRule="auto"/>
              <w:jc w:val="center"/>
              <w:outlineLvl w:val="0"/>
              <w:rPr>
                <w:rFonts w:ascii="方正仿宋_GBK" w:hAnsi="宋体" w:eastAsia="方正仿宋_GBK"/>
              </w:rPr>
            </w:pPr>
          </w:p>
        </w:tc>
        <w:tc>
          <w:tcPr>
            <w:tcW w:w="2434" w:type="dxa"/>
            <w:vAlign w:val="center"/>
          </w:tcPr>
          <w:p>
            <w:pPr>
              <w:tabs>
                <w:tab w:val="left" w:pos="6300"/>
              </w:tabs>
              <w:snapToGrid w:val="0"/>
              <w:spacing w:line="360" w:lineRule="auto"/>
              <w:jc w:val="center"/>
              <w:outlineLvl w:val="0"/>
              <w:rPr>
                <w:rFonts w:ascii="方正仿宋_GBK" w:hAnsi="宋体" w:eastAsia="方正仿宋_GBK"/>
              </w:rPr>
            </w:pPr>
          </w:p>
        </w:tc>
        <w:tc>
          <w:tcPr>
            <w:tcW w:w="2355" w:type="dxa"/>
            <w:vAlign w:val="center"/>
          </w:tcPr>
          <w:p>
            <w:pPr>
              <w:tabs>
                <w:tab w:val="left" w:pos="6300"/>
              </w:tabs>
              <w:snapToGrid w:val="0"/>
              <w:spacing w:line="360" w:lineRule="auto"/>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rPr>
            </w:pPr>
          </w:p>
        </w:tc>
        <w:tc>
          <w:tcPr>
            <w:tcW w:w="3179" w:type="dxa"/>
            <w:vAlign w:val="center"/>
          </w:tcPr>
          <w:p>
            <w:pPr>
              <w:tabs>
                <w:tab w:val="left" w:pos="6300"/>
              </w:tabs>
              <w:snapToGrid w:val="0"/>
              <w:spacing w:line="360" w:lineRule="auto"/>
              <w:jc w:val="center"/>
              <w:outlineLvl w:val="0"/>
              <w:rPr>
                <w:rFonts w:ascii="方正仿宋_GBK" w:hAnsi="宋体" w:eastAsia="方正仿宋_GBK"/>
              </w:rPr>
            </w:pPr>
          </w:p>
        </w:tc>
        <w:tc>
          <w:tcPr>
            <w:tcW w:w="2434" w:type="dxa"/>
            <w:vAlign w:val="center"/>
          </w:tcPr>
          <w:p>
            <w:pPr>
              <w:tabs>
                <w:tab w:val="left" w:pos="6300"/>
              </w:tabs>
              <w:snapToGrid w:val="0"/>
              <w:spacing w:line="360" w:lineRule="auto"/>
              <w:jc w:val="center"/>
              <w:outlineLvl w:val="0"/>
              <w:rPr>
                <w:rFonts w:ascii="方正仿宋_GBK" w:hAnsi="宋体" w:eastAsia="方正仿宋_GBK"/>
              </w:rPr>
            </w:pPr>
          </w:p>
        </w:tc>
        <w:tc>
          <w:tcPr>
            <w:tcW w:w="2355" w:type="dxa"/>
            <w:vAlign w:val="center"/>
          </w:tcPr>
          <w:p>
            <w:pPr>
              <w:tabs>
                <w:tab w:val="left" w:pos="6300"/>
              </w:tabs>
              <w:snapToGrid w:val="0"/>
              <w:spacing w:line="360" w:lineRule="auto"/>
              <w:jc w:val="center"/>
              <w:outlineLvl w:val="0"/>
              <w:rPr>
                <w:rFonts w:ascii="方正仿宋_GBK" w:hAnsi="宋体" w:eastAsia="方正仿宋_GBK"/>
              </w:rPr>
            </w:pPr>
          </w:p>
        </w:tc>
      </w:tr>
    </w:tbl>
    <w:p>
      <w:pPr>
        <w:snapToGrid w:val="0"/>
        <w:spacing w:line="360" w:lineRule="auto"/>
        <w:ind w:firstLine="465"/>
        <w:rPr>
          <w:rFonts w:ascii="方正仿宋_GBK" w:hAnsi="宋体" w:eastAsia="方正仿宋_GBK"/>
          <w:sz w:val="24"/>
        </w:rPr>
      </w:pPr>
    </w:p>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1.本表即为对本项目“第四篇 磋商项目服务需求”中所列服务要求进行比较和响应；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spacing w:line="360" w:lineRule="auto"/>
        <w:ind w:firstLine="420" w:firstLineChars="200"/>
        <w:rPr>
          <w:rFonts w:ascii="方正仿宋_GBK" w:hAnsi="宋体" w:eastAsia="方正仿宋_GBK"/>
          <w:sz w:val="24"/>
        </w:rPr>
      </w:pPr>
      <w:r>
        <w:br w:type="page"/>
      </w:r>
      <w:r>
        <w:rPr>
          <w:rFonts w:hint="eastAsia" w:ascii="方正仿宋_GBK" w:hAnsi="宋体" w:eastAsia="方正仿宋_GBK"/>
          <w:sz w:val="24"/>
        </w:rPr>
        <w:t>（三）其它优惠承诺（格式自定）</w:t>
      </w:r>
    </w:p>
    <w:p>
      <w:pPr>
        <w:pStyle w:val="4"/>
        <w:spacing w:before="0" w:after="0" w:line="360" w:lineRule="auto"/>
        <w:rPr>
          <w:rFonts w:ascii="方正仿宋_GBK" w:hAnsi="宋体" w:eastAsia="方正仿宋_GBK"/>
          <w:sz w:val="24"/>
          <w:szCs w:val="24"/>
        </w:rPr>
      </w:pPr>
      <w:r>
        <w:rPr>
          <w:rFonts w:ascii="方正仿宋_GBK" w:hAnsi="宋体" w:eastAsia="方正仿宋_GBK"/>
          <w:sz w:val="24"/>
          <w:szCs w:val="24"/>
        </w:rPr>
        <w:br w:type="page"/>
      </w:r>
      <w:bookmarkEnd w:id="72"/>
      <w:bookmarkStart w:id="73" w:name="_Toc475106752"/>
      <w:bookmarkStart w:id="74" w:name="_Toc518028925"/>
      <w:r>
        <w:rPr>
          <w:rFonts w:hint="eastAsia" w:ascii="方正仿宋_GBK" w:hAnsi="宋体" w:eastAsia="方正仿宋_GBK"/>
          <w:sz w:val="24"/>
          <w:szCs w:val="24"/>
        </w:rPr>
        <w:t>四、资格条件及其他</w:t>
      </w:r>
      <w:bookmarkEnd w:id="73"/>
      <w:bookmarkEnd w:id="74"/>
    </w:p>
    <w:p>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（二）组织机构代码证复印件</w:t>
      </w: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ind w:firstLine="420" w:firstLineChars="200"/>
        <w:jc w:val="left"/>
        <w:rPr>
          <w:rFonts w:ascii="方正仿宋_GBK" w:hAnsi="宋体" w:eastAsia="方正仿宋_GBK"/>
        </w:rPr>
      </w:pPr>
      <w:r>
        <w:rPr>
          <w:rFonts w:ascii="方正仿宋_GBK" w:hAnsi="宋体" w:eastAsia="方正仿宋_GBK"/>
        </w:rPr>
        <w:br w:type="page"/>
      </w:r>
      <w:r>
        <w:rPr>
          <w:rFonts w:hint="eastAsia" w:ascii="方正仿宋_GBK" w:hAnsi="宋体" w:eastAsia="方正仿宋_GBK"/>
        </w:rPr>
        <w:t>（三）法定代表人身份证明书（格式）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rPr>
      </w:pPr>
      <w:r>
        <w:br w:type="column"/>
      </w:r>
      <w:r>
        <w:rPr>
          <w:rFonts w:hint="eastAsia" w:ascii="方正仿宋_GBK" w:hAnsi="宋体" w:eastAsia="方正仿宋_GBK"/>
        </w:rPr>
        <w:t>（四）法定代表人授权委托书（格式）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firstLine="570"/>
        <w:rPr>
          <w:rFonts w:ascii="方正仿宋_GBK" w:hAnsi="宋体" w:eastAsia="方正仿宋_GBK"/>
        </w:rPr>
      </w:pPr>
      <w:r>
        <w:rPr>
          <w:rFonts w:ascii="宋体" w:hAnsi="宋体"/>
        </w:rPr>
        <w:br w:type="column"/>
      </w:r>
      <w:r>
        <w:rPr>
          <w:rFonts w:hint="eastAsia" w:ascii="方正仿宋_GBK" w:hAnsi="宋体" w:eastAsia="方正仿宋_GBK"/>
        </w:rPr>
        <w:t>（五）</w:t>
      </w:r>
      <w:r>
        <w:rPr>
          <w:rFonts w:hint="eastAsia" w:ascii="方正仿宋_GBK" w:hAnsi="宋体" w:eastAsia="方正仿宋_GBK"/>
          <w:sz w:val="24"/>
        </w:rPr>
        <w:t>2020年度财务状况报告（表）复印件，本年度新成立的公司提供投标截止时间前一个月的财务状况报告（表）复印件</w:t>
      </w: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2415" w:firstLineChars="1150"/>
        <w:rPr>
          <w:rFonts w:ascii="方正仿宋_GBK" w:hAnsi="宋体" w:eastAsia="方正仿宋_GBK"/>
        </w:rPr>
      </w:pPr>
    </w:p>
    <w:p>
      <w:pPr>
        <w:tabs>
          <w:tab w:val="left" w:pos="6300"/>
        </w:tabs>
        <w:snapToGrid w:val="0"/>
        <w:spacing w:line="500" w:lineRule="exact"/>
        <w:ind w:firstLine="2415" w:firstLineChars="1150"/>
        <w:rPr>
          <w:rFonts w:ascii="方正仿宋_GBK" w:hAnsi="宋体" w:eastAsia="方正仿宋_GBK"/>
          <w:sz w:val="24"/>
        </w:rPr>
      </w:pPr>
      <w:r>
        <w:rPr>
          <w:rFonts w:hint="eastAsia" w:ascii="方正仿宋_GBK" w:hAnsi="宋体" w:eastAsia="方正仿宋_GBK"/>
        </w:rPr>
        <w:t>（六）书面声明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24"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firstLine="420" w:firstLineChars="200"/>
        <w:rPr>
          <w:rFonts w:ascii="方正仿宋_GBK" w:hAnsi="宋体" w:eastAsia="方正仿宋_GBK"/>
        </w:rPr>
      </w:pPr>
      <w:r>
        <w:rPr>
          <w:rFonts w:ascii="宋体" w:hAnsi="宋体"/>
        </w:rPr>
        <w:br w:type="page"/>
      </w:r>
      <w:r>
        <w:rPr>
          <w:rFonts w:hint="eastAsia" w:ascii="方正仿宋_GBK" w:hAnsi="宋体" w:eastAsia="方正仿宋_GBK"/>
        </w:rPr>
        <w:t>（七）税务登记证（副本）复印件和社会保险缴纳证明材料</w:t>
      </w:r>
    </w:p>
    <w:p>
      <w:pPr>
        <w:tabs>
          <w:tab w:val="left" w:pos="6300"/>
        </w:tabs>
        <w:snapToGrid w:val="0"/>
        <w:spacing w:line="500" w:lineRule="exact"/>
        <w:ind w:firstLine="420" w:firstLineChars="200"/>
        <w:rPr>
          <w:rFonts w:ascii="方正仿宋_GBK" w:hAnsi="宋体" w:eastAsia="方正仿宋_GBK"/>
        </w:rPr>
      </w:pPr>
      <w:r>
        <w:rPr>
          <w:rFonts w:hint="eastAsia" w:ascii="方正仿宋_GBK" w:hAnsi="宋体" w:eastAsia="方正仿宋_GBK"/>
        </w:rPr>
        <w:t>（八）特定资格条件证书或证明文件</w:t>
      </w:r>
    </w:p>
    <w:p>
      <w:pPr>
        <w:tabs>
          <w:tab w:val="left" w:pos="6300"/>
        </w:tabs>
        <w:snapToGrid w:val="0"/>
        <w:spacing w:line="500" w:lineRule="exact"/>
        <w:ind w:firstLine="420" w:firstLineChars="200"/>
        <w:rPr>
          <w:rFonts w:ascii="方正仿宋_GBK" w:hAnsi="宋体" w:eastAsia="方正仿宋_GBK"/>
          <w:szCs w:val="28"/>
        </w:rPr>
      </w:pPr>
      <w:r>
        <w:rPr>
          <w:rFonts w:hint="eastAsia" w:ascii="方正仿宋_GBK" w:hAnsi="宋体" w:eastAsia="方正仿宋_GBK"/>
        </w:rPr>
        <w:t>（九）</w:t>
      </w:r>
      <w:r>
        <w:rPr>
          <w:rFonts w:hint="eastAsia" w:ascii="方正仿宋_GBK" w:hAnsi="宋体" w:eastAsia="方正仿宋_GBK"/>
          <w:szCs w:val="28"/>
        </w:rPr>
        <w:t>信用中国网站及中国政府采购网查询结果（查询时间为本项目采购公告发布之日起至提交响应文件截止时间前）</w:t>
      </w:r>
    </w:p>
    <w:p>
      <w:pPr>
        <w:tabs>
          <w:tab w:val="left" w:pos="6300"/>
        </w:tabs>
        <w:snapToGrid w:val="0"/>
        <w:spacing w:line="500" w:lineRule="exact"/>
        <w:ind w:firstLine="420" w:firstLineChars="200"/>
        <w:rPr>
          <w:rFonts w:ascii="方正仿宋_GBK" w:hAnsi="宋体" w:eastAsia="方正仿宋_GBK"/>
          <w:szCs w:val="28"/>
        </w:rPr>
      </w:pPr>
      <w:r>
        <w:rPr>
          <w:rFonts w:hint="eastAsia" w:ascii="方正仿宋_GBK" w:hAnsi="宋体" w:eastAsia="方正仿宋_GBK"/>
          <w:szCs w:val="28"/>
        </w:rPr>
        <w:t>1. 信用中国网站（</w:t>
      </w:r>
      <w:r>
        <w:fldChar w:fldCharType="begin"/>
      </w:r>
      <w:r>
        <w:instrText xml:space="preserve"> HYPERLINK "http://www.creditchina.gov.cn" </w:instrText>
      </w:r>
      <w:r>
        <w:fldChar w:fldCharType="separate"/>
      </w:r>
      <w:r>
        <w:rPr>
          <w:rStyle w:val="64"/>
          <w:rFonts w:hint="eastAsia" w:ascii="方正仿宋_GBK" w:hAnsi="宋体" w:eastAsia="方正仿宋_GBK"/>
          <w:szCs w:val="28"/>
        </w:rPr>
        <w:t>www.creditchina.gov.cn</w:t>
      </w:r>
      <w:r>
        <w:rPr>
          <w:rStyle w:val="64"/>
          <w:rFonts w:hint="eastAsia" w:ascii="方正仿宋_GBK" w:hAnsi="宋体" w:eastAsia="方正仿宋_GBK"/>
          <w:szCs w:val="28"/>
        </w:rPr>
        <w:fldChar w:fldCharType="end"/>
      </w:r>
      <w:r>
        <w:rPr>
          <w:rFonts w:hint="eastAsia" w:ascii="方正仿宋_GBK" w:hAnsi="宋体" w:eastAsia="方正仿宋_GBK"/>
          <w:szCs w:val="28"/>
        </w:rPr>
        <w:t>）查询结果（提供查询结果网页打印件并加盖供应商公章）</w:t>
      </w:r>
    </w:p>
    <w:p>
      <w:pPr>
        <w:tabs>
          <w:tab w:val="left" w:pos="6300"/>
        </w:tabs>
        <w:snapToGrid w:val="0"/>
        <w:spacing w:line="500" w:lineRule="exact"/>
        <w:ind w:firstLine="420" w:firstLineChars="200"/>
        <w:rPr>
          <w:rFonts w:ascii="方正仿宋_GBK" w:hAnsi="宋体" w:eastAsia="方正仿宋_GBK"/>
          <w:szCs w:val="28"/>
        </w:rPr>
      </w:pPr>
      <w:r>
        <w:rPr>
          <w:rFonts w:hint="eastAsia" w:ascii="方正仿宋_GBK" w:hAnsi="宋体" w:eastAsia="方正仿宋_GBK"/>
          <w:szCs w:val="28"/>
        </w:rPr>
        <w:t>1.1“信用信息”查询结果；</w:t>
      </w:r>
    </w:p>
    <w:p>
      <w:pPr>
        <w:tabs>
          <w:tab w:val="left" w:pos="6300"/>
        </w:tabs>
        <w:snapToGrid w:val="0"/>
        <w:spacing w:line="500" w:lineRule="exact"/>
        <w:ind w:firstLine="420" w:firstLineChars="200"/>
        <w:rPr>
          <w:rFonts w:ascii="方正仿宋_GBK" w:hAnsi="宋体" w:eastAsia="方正仿宋_GBK"/>
          <w:szCs w:val="28"/>
        </w:rPr>
      </w:pPr>
      <w:r>
        <w:rPr>
          <w:rFonts w:hint="eastAsia" w:ascii="方正仿宋_GBK" w:hAnsi="宋体" w:eastAsia="方正仿宋_GBK"/>
          <w:szCs w:val="28"/>
        </w:rPr>
        <w:t>1.2“失信被执行人”查询结果；</w:t>
      </w:r>
    </w:p>
    <w:p>
      <w:pPr>
        <w:tabs>
          <w:tab w:val="left" w:pos="6300"/>
        </w:tabs>
        <w:snapToGrid w:val="0"/>
        <w:spacing w:line="500" w:lineRule="exact"/>
        <w:ind w:firstLine="420" w:firstLineChars="200"/>
        <w:rPr>
          <w:rFonts w:ascii="方正仿宋_GBK" w:hAnsi="宋体" w:eastAsia="方正仿宋_GBK"/>
          <w:szCs w:val="28"/>
        </w:rPr>
      </w:pPr>
      <w:r>
        <w:rPr>
          <w:rFonts w:hint="eastAsia" w:ascii="方正仿宋_GBK" w:hAnsi="宋体" w:eastAsia="方正仿宋_GBK"/>
          <w:szCs w:val="28"/>
        </w:rPr>
        <w:t>1.3“重大税收违法案件当事人名单”查询结果；</w:t>
      </w:r>
    </w:p>
    <w:p>
      <w:pPr>
        <w:tabs>
          <w:tab w:val="left" w:pos="6300"/>
        </w:tabs>
        <w:snapToGrid w:val="0"/>
        <w:spacing w:line="500" w:lineRule="exact"/>
        <w:ind w:firstLine="420" w:firstLineChars="200"/>
        <w:rPr>
          <w:rFonts w:ascii="方正仿宋_GBK" w:hAnsi="宋体" w:eastAsia="方正仿宋_GBK"/>
          <w:szCs w:val="28"/>
        </w:rPr>
      </w:pPr>
      <w:r>
        <w:rPr>
          <w:rFonts w:hint="eastAsia" w:ascii="方正仿宋_GBK" w:hAnsi="宋体" w:eastAsia="方正仿宋_GBK"/>
          <w:szCs w:val="28"/>
        </w:rPr>
        <w:t>1.4“政府行政许可与行政处罚”查询结果。</w:t>
      </w:r>
    </w:p>
    <w:p>
      <w:pPr>
        <w:tabs>
          <w:tab w:val="left" w:pos="6300"/>
        </w:tabs>
        <w:snapToGrid w:val="0"/>
        <w:spacing w:line="500" w:lineRule="exact"/>
        <w:ind w:firstLine="420" w:firstLineChars="200"/>
        <w:rPr>
          <w:rFonts w:ascii="方正仿宋_GBK" w:hAnsi="宋体" w:eastAsia="方正仿宋_GBK"/>
          <w:szCs w:val="28"/>
        </w:rPr>
      </w:pPr>
      <w:r>
        <w:rPr>
          <w:rFonts w:hint="eastAsia" w:ascii="方正仿宋_GBK" w:hAnsi="宋体" w:eastAsia="方正仿宋_GBK"/>
          <w:szCs w:val="28"/>
        </w:rPr>
        <w:t>2. 中国政府采购网（</w:t>
      </w:r>
      <w:r>
        <w:fldChar w:fldCharType="begin"/>
      </w:r>
      <w:r>
        <w:instrText xml:space="preserve"> HYPERLINK "http://www.ccgp.gov.cn" </w:instrText>
      </w:r>
      <w:r>
        <w:fldChar w:fldCharType="separate"/>
      </w:r>
      <w:r>
        <w:rPr>
          <w:rStyle w:val="64"/>
          <w:rFonts w:hint="eastAsia" w:ascii="方正仿宋_GBK" w:hAnsi="宋体" w:eastAsia="方正仿宋_GBK"/>
          <w:szCs w:val="28"/>
        </w:rPr>
        <w:t>www.ccgp.gov.cn</w:t>
      </w:r>
      <w:r>
        <w:rPr>
          <w:rStyle w:val="64"/>
          <w:rFonts w:hint="eastAsia" w:ascii="方正仿宋_GBK" w:hAnsi="宋体" w:eastAsia="方正仿宋_GBK"/>
          <w:szCs w:val="28"/>
        </w:rPr>
        <w:fldChar w:fldCharType="end"/>
      </w:r>
      <w:r>
        <w:rPr>
          <w:rFonts w:hint="eastAsia" w:ascii="方正仿宋_GBK" w:hAnsi="宋体" w:eastAsia="方正仿宋_GBK"/>
          <w:szCs w:val="28"/>
        </w:rPr>
        <w:t>）（提供查询结果网页打印件并加盖供应商公章）</w:t>
      </w:r>
    </w:p>
    <w:p>
      <w:pPr>
        <w:tabs>
          <w:tab w:val="left" w:pos="6300"/>
        </w:tabs>
        <w:snapToGrid w:val="0"/>
        <w:spacing w:line="500" w:lineRule="exact"/>
        <w:ind w:firstLine="420" w:firstLineChars="200"/>
        <w:rPr>
          <w:rFonts w:ascii="方正仿宋_GBK" w:hAnsi="宋体" w:eastAsia="方正仿宋_GBK"/>
          <w:szCs w:val="28"/>
        </w:rPr>
      </w:pPr>
      <w:r>
        <w:rPr>
          <w:rFonts w:hint="eastAsia" w:ascii="方正仿宋_GBK" w:hAnsi="宋体" w:eastAsia="方正仿宋_GBK"/>
          <w:szCs w:val="28"/>
        </w:rPr>
        <w:t>“政府采购严重违法失信行为记录名单”查询结果。</w:t>
      </w:r>
    </w:p>
    <w:p>
      <w:pPr>
        <w:tabs>
          <w:tab w:val="left" w:pos="6300"/>
        </w:tabs>
        <w:snapToGrid w:val="0"/>
        <w:spacing w:line="500" w:lineRule="exact"/>
        <w:ind w:firstLine="420" w:firstLineChars="200"/>
        <w:rPr>
          <w:rFonts w:ascii="方正仿宋_GBK" w:hAnsi="宋体" w:eastAsia="方正仿宋_GBK"/>
          <w:szCs w:val="28"/>
        </w:rPr>
      </w:pPr>
    </w:p>
    <w:p>
      <w:pPr>
        <w:tabs>
          <w:tab w:val="left" w:pos="6300"/>
        </w:tabs>
        <w:snapToGrid w:val="0"/>
        <w:spacing w:line="360" w:lineRule="auto"/>
        <w:ind w:firstLine="420" w:firstLineChars="200"/>
        <w:rPr>
          <w:rFonts w:ascii="方正仿宋_GBK" w:hAnsi="宋体" w:eastAsia="方正仿宋_GBK"/>
        </w:rPr>
      </w:pPr>
      <w:r>
        <w:rPr>
          <w:rFonts w:hint="eastAsia" w:ascii="方正仿宋_GBK" w:hAnsi="宋体" w:eastAsia="方正仿宋_GBK"/>
        </w:rPr>
        <w:t>说明：供应商按“三证合一”登记制度办理营业执照的，组织机构代码证和税务登记证以供应商所提供的营业执照（副本）复印件为准。</w:t>
      </w:r>
    </w:p>
    <w:p>
      <w:pPr>
        <w:tabs>
          <w:tab w:val="left" w:pos="6300"/>
        </w:tabs>
        <w:snapToGrid w:val="0"/>
        <w:spacing w:line="360" w:lineRule="auto"/>
        <w:ind w:firstLine="420" w:firstLineChars="200"/>
        <w:rPr>
          <w:rFonts w:ascii="方正仿宋_GBK" w:hAnsi="宋体" w:eastAsia="方正仿宋_GBK"/>
        </w:rPr>
      </w:pPr>
    </w:p>
    <w:p>
      <w:pPr>
        <w:tabs>
          <w:tab w:val="left" w:pos="6300"/>
        </w:tabs>
        <w:snapToGrid w:val="0"/>
        <w:spacing w:line="360" w:lineRule="auto"/>
        <w:ind w:firstLine="420" w:firstLineChars="200"/>
        <w:rPr>
          <w:rFonts w:ascii="方正仿宋_GBK" w:hAnsi="宋体" w:eastAsia="方正仿宋_GBK"/>
        </w:rPr>
      </w:pPr>
    </w:p>
    <w:p>
      <w:pPr>
        <w:tabs>
          <w:tab w:val="left" w:pos="6300"/>
        </w:tabs>
        <w:snapToGrid w:val="0"/>
        <w:spacing w:line="360" w:lineRule="auto"/>
        <w:ind w:firstLine="420" w:firstLineChars="200"/>
        <w:rPr>
          <w:rFonts w:ascii="方正仿宋_GBK" w:hAnsi="宋体" w:eastAsia="方正仿宋_GBK"/>
        </w:rPr>
      </w:pPr>
    </w:p>
    <w:p>
      <w:pPr>
        <w:tabs>
          <w:tab w:val="left" w:pos="6300"/>
        </w:tabs>
        <w:snapToGrid w:val="0"/>
        <w:spacing w:line="360" w:lineRule="auto"/>
        <w:ind w:firstLine="420" w:firstLineChars="200"/>
        <w:rPr>
          <w:rFonts w:ascii="方正仿宋_GBK" w:hAnsi="宋体" w:eastAsia="方正仿宋_GBK"/>
        </w:rPr>
      </w:pPr>
    </w:p>
    <w:p>
      <w:pPr>
        <w:tabs>
          <w:tab w:val="left" w:pos="6300"/>
        </w:tabs>
        <w:snapToGrid w:val="0"/>
        <w:spacing w:line="360" w:lineRule="auto"/>
        <w:ind w:firstLine="420" w:firstLineChars="200"/>
        <w:rPr>
          <w:rFonts w:ascii="方正仿宋_GBK" w:hAnsi="宋体" w:eastAsia="方正仿宋_GBK"/>
        </w:rPr>
      </w:pPr>
    </w:p>
    <w:p>
      <w:pPr>
        <w:tabs>
          <w:tab w:val="left" w:pos="6300"/>
        </w:tabs>
        <w:snapToGrid w:val="0"/>
        <w:spacing w:line="360" w:lineRule="auto"/>
        <w:ind w:firstLine="420" w:firstLineChars="200"/>
        <w:rPr>
          <w:rFonts w:ascii="方正仿宋_GBK" w:hAnsi="宋体" w:eastAsia="方正仿宋_GBK"/>
        </w:rPr>
      </w:pPr>
    </w:p>
    <w:p>
      <w:pPr>
        <w:tabs>
          <w:tab w:val="left" w:pos="6300"/>
        </w:tabs>
        <w:snapToGrid w:val="0"/>
        <w:spacing w:line="360" w:lineRule="auto"/>
        <w:ind w:firstLine="420" w:firstLineChars="200"/>
        <w:rPr>
          <w:rFonts w:ascii="方正仿宋_GBK" w:hAnsi="宋体" w:eastAsia="方正仿宋_GBK"/>
        </w:rPr>
      </w:pPr>
    </w:p>
    <w:p>
      <w:pPr>
        <w:tabs>
          <w:tab w:val="left" w:pos="6300"/>
        </w:tabs>
        <w:snapToGrid w:val="0"/>
        <w:spacing w:line="360" w:lineRule="auto"/>
        <w:ind w:firstLine="420" w:firstLineChars="200"/>
        <w:rPr>
          <w:rFonts w:ascii="方正仿宋_GBK" w:hAnsi="宋体" w:eastAsia="方正仿宋_GBK"/>
        </w:rPr>
      </w:pPr>
    </w:p>
    <w:p>
      <w:pPr>
        <w:tabs>
          <w:tab w:val="left" w:pos="6300"/>
        </w:tabs>
        <w:snapToGrid w:val="0"/>
        <w:spacing w:line="360" w:lineRule="auto"/>
        <w:ind w:firstLine="420" w:firstLineChars="200"/>
        <w:rPr>
          <w:rFonts w:ascii="方正仿宋_GBK" w:hAnsi="宋体" w:eastAsia="方正仿宋_GBK"/>
        </w:rPr>
      </w:pPr>
    </w:p>
    <w:p>
      <w:pPr>
        <w:tabs>
          <w:tab w:val="left" w:pos="6300"/>
        </w:tabs>
        <w:snapToGrid w:val="0"/>
        <w:spacing w:line="360" w:lineRule="auto"/>
        <w:ind w:firstLine="420" w:firstLineChars="200"/>
        <w:rPr>
          <w:rFonts w:ascii="方正仿宋_GBK" w:hAnsi="宋体" w:eastAsia="方正仿宋_GBK"/>
        </w:rPr>
      </w:pPr>
    </w:p>
    <w:p>
      <w:pPr>
        <w:tabs>
          <w:tab w:val="left" w:pos="6300"/>
        </w:tabs>
        <w:snapToGrid w:val="0"/>
        <w:spacing w:line="360" w:lineRule="auto"/>
        <w:ind w:firstLine="420" w:firstLineChars="200"/>
        <w:rPr>
          <w:rFonts w:ascii="方正仿宋_GBK" w:hAnsi="宋体" w:eastAsia="方正仿宋_GBK"/>
        </w:rPr>
      </w:pPr>
    </w:p>
    <w:p>
      <w:pPr>
        <w:tabs>
          <w:tab w:val="left" w:pos="6300"/>
        </w:tabs>
        <w:snapToGrid w:val="0"/>
        <w:spacing w:line="360" w:lineRule="auto"/>
        <w:rPr>
          <w:rFonts w:ascii="方正仿宋_GBK" w:hAnsi="宋体" w:eastAsia="方正仿宋_GBK"/>
        </w:rPr>
      </w:pPr>
    </w:p>
    <w:p>
      <w:pPr>
        <w:pStyle w:val="4"/>
        <w:spacing w:before="0" w:after="0" w:line="360" w:lineRule="auto"/>
        <w:rPr>
          <w:rFonts w:ascii="方正仿宋_GBK" w:hAnsi="宋体" w:eastAsia="方正仿宋_GBK"/>
          <w:sz w:val="24"/>
          <w:szCs w:val="24"/>
        </w:rPr>
      </w:pPr>
      <w:bookmarkStart w:id="75" w:name="_Toc475106753"/>
      <w:bookmarkStart w:id="76" w:name="_Toc518028926"/>
    </w:p>
    <w:bookmarkEnd w:id="75"/>
    <w:bookmarkEnd w:id="76"/>
    <w:p>
      <w:pPr>
        <w:pStyle w:val="4"/>
        <w:spacing w:before="0" w:after="0" w:line="360" w:lineRule="auto"/>
        <w:rPr>
          <w:rFonts w:ascii="方正仿宋_GBK" w:hAnsi="宋体" w:eastAsia="方正仿宋_GBK"/>
          <w:sz w:val="24"/>
          <w:szCs w:val="24"/>
        </w:rPr>
      </w:pPr>
    </w:p>
    <w:p>
      <w:pPr>
        <w:jc w:val="left"/>
        <w:rPr>
          <w:rFonts w:ascii="方正仿宋_GBK" w:hAnsi="宋体" w:eastAsia="方正仿宋_GBK"/>
          <w:b/>
          <w:sz w:val="28"/>
          <w:szCs w:val="28"/>
        </w:rPr>
      </w:pPr>
      <w:bookmarkStart w:id="77" w:name="_Toc29543195"/>
    </w:p>
    <w:p>
      <w:pPr>
        <w:jc w:val="left"/>
        <w:rPr>
          <w:rFonts w:ascii="方正仿宋_GBK" w:eastAsia="方正仿宋_GBK"/>
          <w:b/>
          <w:sz w:val="28"/>
          <w:szCs w:val="28"/>
        </w:rPr>
      </w:pPr>
      <w:r>
        <w:rPr>
          <w:rFonts w:hint="eastAsia" w:ascii="方正仿宋_GBK" w:hAnsi="宋体" w:eastAsia="方正仿宋_GBK"/>
          <w:b/>
          <w:sz w:val="28"/>
          <w:szCs w:val="28"/>
        </w:rPr>
        <w:t>五、</w:t>
      </w:r>
      <w:r>
        <w:rPr>
          <w:rFonts w:hint="eastAsia" w:ascii="方正仿宋_GBK" w:eastAsia="方正仿宋_GBK"/>
          <w:b/>
          <w:sz w:val="28"/>
          <w:szCs w:val="28"/>
        </w:rPr>
        <w:t>其他应提供的资料</w:t>
      </w:r>
      <w:bookmarkEnd w:id="77"/>
    </w:p>
    <w:p>
      <w:pPr>
        <w:jc w:val="left"/>
        <w:rPr>
          <w:rFonts w:ascii="方正仿宋_GBK" w:hAnsi="宋体" w:eastAsia="方正仿宋_GBK"/>
          <w:sz w:val="28"/>
          <w:szCs w:val="28"/>
        </w:rPr>
      </w:pPr>
      <w:r>
        <w:rPr>
          <w:rFonts w:hint="eastAsia" w:ascii="方正仿宋_GBK" w:hAnsi="宋体" w:eastAsia="方正仿宋_GBK"/>
          <w:sz w:val="28"/>
          <w:szCs w:val="28"/>
        </w:rPr>
        <w:t>（一）反商业贿赂承诺书</w:t>
      </w:r>
    </w:p>
    <w:p>
      <w:pPr>
        <w:spacing w:line="56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反商业贿赂承诺书</w:t>
      </w:r>
    </w:p>
    <w:p>
      <w:pPr>
        <w:spacing w:line="560" w:lineRule="exact"/>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致重庆市江北区中医院：</w:t>
      </w:r>
    </w:p>
    <w:p>
      <w:pPr>
        <w:spacing w:line="560" w:lineRule="exact"/>
        <w:ind w:firstLine="560" w:firstLineChars="20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在重庆市江北区中医院（项目名称）磋商活动中，我公司保证做到：</w:t>
      </w:r>
    </w:p>
    <w:p>
      <w:pPr>
        <w:spacing w:line="560" w:lineRule="exact"/>
        <w:ind w:firstLine="560" w:firstLineChars="200"/>
        <w:jc w:val="left"/>
        <w:rPr>
          <w:rFonts w:ascii="方正仿宋_GBK" w:hAnsi="宋体" w:eastAsia="方正仿宋_GBK"/>
          <w:color w:val="000000"/>
          <w:sz w:val="28"/>
          <w:szCs w:val="28"/>
        </w:rPr>
      </w:pPr>
      <w:r>
        <w:rPr>
          <w:rFonts w:ascii="方正仿宋_GBK" w:hAnsi="宋体" w:eastAsia="方正仿宋_GBK"/>
          <w:color w:val="000000"/>
          <w:sz w:val="28"/>
          <w:szCs w:val="28"/>
        </w:rPr>
        <w:t>1</w:t>
      </w:r>
      <w:r>
        <w:rPr>
          <w:rFonts w:hint="eastAsia" w:ascii="方正仿宋_GBK" w:hAnsi="宋体" w:eastAsia="方正仿宋_GBK"/>
          <w:color w:val="000000"/>
          <w:sz w:val="28"/>
          <w:szCs w:val="28"/>
        </w:rPr>
        <w:t>、公平竞争参加本次磋商活动；</w:t>
      </w:r>
    </w:p>
    <w:p>
      <w:pPr>
        <w:spacing w:line="560" w:lineRule="exact"/>
        <w:ind w:firstLine="560" w:firstLineChars="200"/>
        <w:jc w:val="left"/>
        <w:rPr>
          <w:rFonts w:ascii="方正仿宋_GBK" w:hAnsi="宋体" w:eastAsia="方正仿宋_GBK"/>
          <w:color w:val="000000"/>
          <w:sz w:val="28"/>
          <w:szCs w:val="28"/>
        </w:rPr>
      </w:pPr>
      <w:r>
        <w:rPr>
          <w:rFonts w:ascii="方正仿宋_GBK" w:hAnsi="宋体" w:eastAsia="方正仿宋_GBK"/>
          <w:color w:val="000000"/>
          <w:sz w:val="28"/>
          <w:szCs w:val="28"/>
        </w:rPr>
        <w:t>2</w:t>
      </w:r>
      <w:r>
        <w:rPr>
          <w:rFonts w:hint="eastAsia" w:ascii="方正仿宋_GBK" w:hAnsi="宋体" w:eastAsia="方正仿宋_GBK"/>
          <w:color w:val="000000"/>
          <w:sz w:val="28"/>
          <w:szCs w:val="28"/>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60" w:lineRule="exact"/>
        <w:ind w:firstLine="560" w:firstLineChars="200"/>
        <w:jc w:val="left"/>
        <w:rPr>
          <w:rFonts w:ascii="方正仿宋_GBK" w:hAnsi="宋体" w:eastAsia="方正仿宋_GBK"/>
          <w:color w:val="000000"/>
          <w:sz w:val="28"/>
          <w:szCs w:val="28"/>
        </w:rPr>
      </w:pPr>
      <w:r>
        <w:rPr>
          <w:rFonts w:ascii="方正仿宋_GBK" w:hAnsi="宋体" w:eastAsia="方正仿宋_GBK"/>
          <w:color w:val="000000"/>
          <w:sz w:val="28"/>
          <w:szCs w:val="28"/>
        </w:rPr>
        <w:t>3</w:t>
      </w:r>
      <w:r>
        <w:rPr>
          <w:rFonts w:hint="eastAsia" w:ascii="方正仿宋_GBK" w:hAnsi="宋体" w:eastAsia="方正仿宋_GBK"/>
          <w:color w:val="000000"/>
          <w:sz w:val="28"/>
          <w:szCs w:val="28"/>
        </w:rPr>
        <w:t>、如出现以下行为，我公司及参与投标的工作人员无条件接受院方及法律的处置：</w:t>
      </w:r>
    </w:p>
    <w:p>
      <w:pPr>
        <w:spacing w:line="560" w:lineRule="exact"/>
        <w:ind w:firstLine="560" w:firstLineChars="20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⑴供应商代表未出席投标会或开标时被三次提名而无供应商代表应答的（自动弃权）；</w:t>
      </w:r>
    </w:p>
    <w:p>
      <w:pPr>
        <w:spacing w:line="560" w:lineRule="exact"/>
        <w:ind w:firstLine="560" w:firstLineChars="20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⑵递交的响应文件和资质文件中有虚假内容的；</w:t>
      </w:r>
    </w:p>
    <w:p>
      <w:pPr>
        <w:spacing w:line="560" w:lineRule="exact"/>
        <w:ind w:firstLine="560" w:firstLineChars="20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⑶违反相关法律法规及院方关于反商业贿赂规定的；</w:t>
      </w:r>
    </w:p>
    <w:p>
      <w:pPr>
        <w:spacing w:line="560" w:lineRule="exact"/>
        <w:ind w:firstLine="560" w:firstLineChars="20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⑷投标报价低于实际成本价的；</w:t>
      </w:r>
    </w:p>
    <w:p>
      <w:pPr>
        <w:spacing w:line="560" w:lineRule="exact"/>
        <w:ind w:firstLine="560" w:firstLineChars="20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⑸中标后未在规定期限内签订中标合同的；</w:t>
      </w:r>
    </w:p>
    <w:p>
      <w:pPr>
        <w:spacing w:line="560" w:lineRule="exact"/>
        <w:jc w:val="left"/>
        <w:rPr>
          <w:rFonts w:ascii="方正仿宋_GBK" w:hAnsi="宋体" w:eastAsia="方正仿宋_GBK"/>
          <w:color w:val="000000"/>
          <w:sz w:val="28"/>
          <w:szCs w:val="28"/>
        </w:rPr>
      </w:pPr>
    </w:p>
    <w:p>
      <w:pPr>
        <w:spacing w:line="560" w:lineRule="exact"/>
        <w:ind w:firstLine="1260" w:firstLineChars="45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公司法人代表（公章）：</w:t>
      </w:r>
    </w:p>
    <w:p>
      <w:pPr>
        <w:spacing w:line="560" w:lineRule="exact"/>
        <w:ind w:firstLine="1260" w:firstLineChars="45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授权代表：</w:t>
      </w:r>
    </w:p>
    <w:p>
      <w:pPr>
        <w:spacing w:line="560" w:lineRule="exact"/>
        <w:ind w:firstLine="4340" w:firstLineChars="155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年    月    日</w:t>
      </w:r>
    </w:p>
    <w:p>
      <w:pPr>
        <w:spacing w:line="560" w:lineRule="exact"/>
        <w:ind w:firstLine="4340" w:firstLineChars="1550"/>
        <w:jc w:val="left"/>
        <w:rPr>
          <w:rFonts w:ascii="方正仿宋_GBK" w:hAnsi="宋体" w:eastAsia="方正仿宋_GBK"/>
          <w:color w:val="000000"/>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r>
        <w:rPr>
          <w:rFonts w:hint="eastAsia" w:ascii="方正仿宋_GBK" w:hAnsi="宋体" w:eastAsia="方正仿宋_GBK"/>
          <w:sz w:val="28"/>
          <w:szCs w:val="28"/>
        </w:rPr>
        <w:t>（二）产品质量及售后服务保证书</w:t>
      </w:r>
    </w:p>
    <w:p>
      <w:pPr>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产品质量及售后服务保证书</w:t>
      </w:r>
    </w:p>
    <w:p>
      <w:pPr>
        <w:spacing w:line="580" w:lineRule="exact"/>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致重庆市江北区中医院：</w:t>
      </w:r>
    </w:p>
    <w:p>
      <w:pPr>
        <w:spacing w:line="580" w:lineRule="exact"/>
        <w:ind w:firstLine="560" w:firstLineChars="20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郑重承诺：我方参加（项目名称）招标活动，中标后所配送产品符合国家相关质量标准，所有产品的相关资质齐全有效。若使用中发现质量问题，我方负责免费更换产品，由此带来的经济损失和法律责任由我方全部负责。</w:t>
      </w:r>
    </w:p>
    <w:p>
      <w:pPr>
        <w:jc w:val="left"/>
        <w:rPr>
          <w:rFonts w:ascii="方正仿宋_GBK" w:hAnsi="宋体" w:eastAsia="方正仿宋_GBK"/>
          <w:color w:val="000000"/>
          <w:sz w:val="28"/>
          <w:szCs w:val="28"/>
        </w:rPr>
      </w:pPr>
    </w:p>
    <w:p>
      <w:pPr>
        <w:ind w:firstLine="1260" w:firstLineChars="45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公司法人代表（公章）：</w:t>
      </w:r>
    </w:p>
    <w:p>
      <w:pPr>
        <w:ind w:firstLine="1260" w:firstLineChars="45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授权代表：</w:t>
      </w:r>
    </w:p>
    <w:p>
      <w:pPr>
        <w:jc w:val="left"/>
        <w:rPr>
          <w:rFonts w:ascii="方正仿宋_GBK" w:hAnsi="宋体" w:eastAsia="方正仿宋_GBK"/>
          <w:color w:val="000000"/>
          <w:sz w:val="28"/>
          <w:szCs w:val="28"/>
        </w:rPr>
      </w:pPr>
    </w:p>
    <w:p>
      <w:pPr>
        <w:jc w:val="left"/>
        <w:rPr>
          <w:rFonts w:ascii="方正仿宋_GBK" w:hAnsi="宋体" w:eastAsia="方正仿宋_GBK"/>
          <w:color w:val="000000"/>
          <w:sz w:val="28"/>
          <w:szCs w:val="28"/>
        </w:rPr>
      </w:pPr>
    </w:p>
    <w:p>
      <w:pPr>
        <w:jc w:val="left"/>
        <w:rPr>
          <w:rFonts w:ascii="方正仿宋_GBK" w:hAnsi="宋体" w:eastAsia="方正仿宋_GBK"/>
          <w:color w:val="000000"/>
          <w:sz w:val="28"/>
          <w:szCs w:val="28"/>
        </w:rPr>
      </w:pPr>
    </w:p>
    <w:p>
      <w:pPr>
        <w:ind w:firstLine="4340" w:firstLineChars="155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年  月   日</w:t>
      </w:r>
    </w:p>
    <w:p>
      <w:pPr>
        <w:spacing w:line="560" w:lineRule="exact"/>
        <w:rPr>
          <w:rFonts w:ascii="方正仿宋_GBK" w:hAnsi="宋体" w:eastAsia="方正仿宋_GBK"/>
          <w:szCs w:val="28"/>
        </w:rPr>
      </w:pPr>
    </w:p>
    <w:p>
      <w:pPr>
        <w:spacing w:line="560" w:lineRule="exact"/>
        <w:ind w:firstLine="420" w:firstLineChars="200"/>
        <w:rPr>
          <w:rFonts w:ascii="方正仿宋_GBK" w:hAnsi="宋体" w:eastAsia="方正仿宋_GBK"/>
          <w:szCs w:val="28"/>
        </w:rPr>
      </w:pPr>
    </w:p>
    <w:p>
      <w:pPr>
        <w:spacing w:line="560" w:lineRule="exact"/>
        <w:ind w:firstLine="420" w:firstLineChars="200"/>
        <w:rPr>
          <w:rFonts w:ascii="方正仿宋_GBK" w:hAnsi="宋体" w:eastAsia="方正仿宋_GBK"/>
          <w:szCs w:val="28"/>
        </w:rPr>
      </w:pPr>
    </w:p>
    <w:p>
      <w:pPr>
        <w:spacing w:line="560" w:lineRule="exact"/>
        <w:ind w:firstLine="420" w:firstLineChars="200"/>
        <w:rPr>
          <w:rFonts w:ascii="方正仿宋_GBK" w:hAnsi="宋体" w:eastAsia="方正仿宋_GBK"/>
          <w:szCs w:val="28"/>
        </w:rPr>
      </w:pPr>
    </w:p>
    <w:p>
      <w:pPr>
        <w:spacing w:line="560" w:lineRule="exact"/>
        <w:ind w:firstLine="420" w:firstLineChars="200"/>
        <w:rPr>
          <w:rFonts w:ascii="方正仿宋_GBK" w:hAnsi="宋体" w:eastAsia="方正仿宋_GBK"/>
          <w:szCs w:val="28"/>
        </w:rPr>
      </w:pPr>
    </w:p>
    <w:p>
      <w:pPr>
        <w:spacing w:line="560" w:lineRule="exact"/>
        <w:ind w:firstLine="420" w:firstLineChars="200"/>
        <w:rPr>
          <w:rFonts w:ascii="方正仿宋_GBK" w:hAnsi="宋体" w:eastAsia="方正仿宋_GBK"/>
          <w:szCs w:val="28"/>
        </w:rPr>
      </w:pPr>
    </w:p>
    <w:p>
      <w:pPr>
        <w:spacing w:line="560" w:lineRule="exact"/>
        <w:ind w:firstLine="420" w:firstLineChars="200"/>
        <w:rPr>
          <w:rFonts w:ascii="方正仿宋_GBK" w:hAnsi="宋体" w:eastAsia="方正仿宋_GBK"/>
          <w:szCs w:val="28"/>
        </w:rPr>
      </w:pPr>
    </w:p>
    <w:p>
      <w:pPr>
        <w:spacing w:line="560" w:lineRule="exact"/>
        <w:ind w:firstLine="420" w:firstLineChars="200"/>
        <w:rPr>
          <w:rFonts w:ascii="方正仿宋_GBK" w:hAnsi="宋体" w:eastAsia="方正仿宋_GBK"/>
          <w:szCs w:val="28"/>
        </w:rPr>
      </w:pPr>
    </w:p>
    <w:p>
      <w:pPr>
        <w:spacing w:line="560" w:lineRule="exact"/>
        <w:ind w:firstLine="420" w:firstLineChars="200"/>
        <w:rPr>
          <w:rFonts w:ascii="方正仿宋_GBK" w:hAnsi="宋体" w:eastAsia="方正仿宋_GBK"/>
          <w:szCs w:val="28"/>
        </w:rPr>
      </w:pPr>
    </w:p>
    <w:p>
      <w:pPr>
        <w:spacing w:line="560" w:lineRule="exact"/>
        <w:ind w:firstLine="560" w:firstLineChars="200"/>
        <w:rPr>
          <w:rFonts w:ascii="方正仿宋_GBK" w:hAnsi="宋体" w:eastAsia="方正仿宋_GBK"/>
          <w:sz w:val="28"/>
          <w:szCs w:val="28"/>
        </w:rPr>
      </w:pPr>
    </w:p>
    <w:p>
      <w:pPr>
        <w:spacing w:line="560" w:lineRule="exact"/>
        <w:ind w:firstLine="560" w:firstLineChars="200"/>
        <w:rPr>
          <w:rFonts w:ascii="方正仿宋_GBK" w:hAnsi="宋体" w:eastAsia="方正仿宋_GBK"/>
          <w:sz w:val="28"/>
          <w:szCs w:val="28"/>
        </w:rPr>
      </w:pPr>
    </w:p>
    <w:p>
      <w:pPr>
        <w:spacing w:line="560" w:lineRule="exact"/>
        <w:ind w:firstLine="560" w:firstLineChars="200"/>
        <w:rPr>
          <w:rFonts w:ascii="方正仿宋_GBK" w:hAnsi="宋体" w:eastAsia="方正仿宋_GBK"/>
          <w:sz w:val="28"/>
          <w:szCs w:val="28"/>
        </w:rPr>
      </w:pPr>
    </w:p>
    <w:p>
      <w:pPr>
        <w:spacing w:line="560" w:lineRule="exact"/>
        <w:ind w:firstLine="560" w:firstLineChars="200"/>
        <w:rPr>
          <w:rFonts w:ascii="方正仿宋_GBK" w:hAnsi="宋体" w:eastAsia="方正仿宋_GBK"/>
          <w:sz w:val="28"/>
          <w:szCs w:val="28"/>
        </w:rPr>
      </w:pPr>
    </w:p>
    <w:p>
      <w:pPr>
        <w:spacing w:line="560" w:lineRule="exact"/>
        <w:ind w:firstLine="560" w:firstLineChars="200"/>
        <w:rPr>
          <w:rFonts w:ascii="方正仿宋_GBK" w:hAnsi="宋体" w:eastAsia="方正仿宋_GBK"/>
          <w:sz w:val="28"/>
          <w:szCs w:val="28"/>
        </w:rPr>
      </w:pPr>
    </w:p>
    <w:p>
      <w:pPr>
        <w:spacing w:line="560" w:lineRule="exact"/>
        <w:ind w:firstLine="560" w:firstLineChars="200"/>
        <w:rPr>
          <w:rFonts w:ascii="方正仿宋_GBK" w:hAnsi="宋体" w:eastAsia="方正仿宋_GBK"/>
          <w:sz w:val="28"/>
          <w:szCs w:val="28"/>
        </w:rPr>
      </w:pPr>
    </w:p>
    <w:p>
      <w:pPr>
        <w:spacing w:line="560" w:lineRule="exact"/>
        <w:ind w:firstLine="560" w:firstLineChars="200"/>
        <w:rPr>
          <w:rFonts w:ascii="方正仿宋_GBK" w:hAnsi="宋体" w:eastAsia="方正仿宋_GBK"/>
          <w:sz w:val="28"/>
          <w:szCs w:val="28"/>
        </w:rPr>
      </w:pPr>
    </w:p>
    <w:p>
      <w:pPr>
        <w:spacing w:line="560" w:lineRule="exact"/>
        <w:ind w:firstLine="560" w:firstLineChars="200"/>
        <w:rPr>
          <w:rFonts w:ascii="方正仿宋_GBK" w:hAnsi="宋体" w:eastAsia="方正仿宋_GBK"/>
          <w:sz w:val="28"/>
          <w:szCs w:val="28"/>
        </w:rPr>
      </w:pPr>
    </w:p>
    <w:p>
      <w:pPr>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（三）供应商认为其他与项目有关的资料（自附）</w:t>
      </w:r>
    </w:p>
    <w:p>
      <w:pPr>
        <w:spacing w:line="560" w:lineRule="exact"/>
        <w:ind w:firstLine="420" w:firstLineChars="200"/>
        <w:rPr>
          <w:rFonts w:ascii="方正仿宋_GBK" w:hAnsi="宋体" w:eastAsia="方正仿宋_GBK"/>
          <w:b/>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napToGrid w:val="0"/>
        <w:spacing w:line="560" w:lineRule="exact"/>
        <w:ind w:firstLine="420" w:firstLineChars="200"/>
        <w:rPr>
          <w:rFonts w:ascii="方正仿宋_GBK" w:hAnsi="宋体" w:eastAsia="方正仿宋_GBK"/>
          <w:color w:val="000000" w:themeColor="text1"/>
          <w:szCs w:val="28"/>
        </w:rPr>
        <w:sectPr>
          <w:pgSz w:w="11907" w:h="16840"/>
          <w:pgMar w:top="1134" w:right="1304" w:bottom="1134" w:left="1304" w:header="851" w:footer="992" w:gutter="0"/>
          <w:pgNumType w:fmt="numberInDash"/>
          <w:cols w:space="720" w:num="1"/>
          <w:docGrid w:linePitch="380" w:charSpace="-5735"/>
        </w:sectPr>
      </w:pPr>
    </w:p>
    <w:p>
      <w:pPr>
        <w:spacing w:line="560" w:lineRule="exact"/>
        <w:ind w:firstLine="420" w:firstLineChars="200"/>
        <w:jc w:val="center"/>
        <w:rPr>
          <w:rFonts w:ascii="方正仿宋_GBK" w:hAnsi="仿宋" w:eastAsia="方正仿宋_GBK"/>
          <w:szCs w:val="28"/>
        </w:rPr>
      </w:pPr>
    </w:p>
    <w:p>
      <w:pPr>
        <w:spacing w:line="560" w:lineRule="exact"/>
        <w:ind w:firstLine="420" w:firstLineChars="200"/>
        <w:jc w:val="center"/>
        <w:rPr>
          <w:rFonts w:ascii="方正仿宋_GBK" w:hAnsi="仿宋" w:eastAsia="方正仿宋_GBK"/>
          <w:szCs w:val="28"/>
        </w:rPr>
      </w:pPr>
    </w:p>
    <w:p>
      <w:pPr>
        <w:spacing w:line="560" w:lineRule="exact"/>
        <w:ind w:firstLine="420" w:firstLineChars="200"/>
        <w:jc w:val="center"/>
        <w:rPr>
          <w:rFonts w:ascii="方正仿宋_GBK" w:hAnsi="仿宋" w:eastAsia="方正仿宋_GBK"/>
          <w:szCs w:val="28"/>
        </w:rPr>
      </w:pPr>
    </w:p>
    <w:p>
      <w:pPr>
        <w:spacing w:line="560" w:lineRule="exact"/>
        <w:ind w:firstLine="420" w:firstLineChars="200"/>
        <w:jc w:val="center"/>
        <w:rPr>
          <w:rFonts w:ascii="方正仿宋_GBK" w:hAnsi="仿宋" w:eastAsia="方正仿宋_GBK"/>
          <w:szCs w:val="28"/>
        </w:rPr>
      </w:pPr>
    </w:p>
    <w:p>
      <w:pPr>
        <w:spacing w:line="560" w:lineRule="exact"/>
        <w:ind w:firstLine="420" w:firstLineChars="200"/>
        <w:jc w:val="center"/>
        <w:rPr>
          <w:rFonts w:ascii="方正仿宋_GBK" w:hAnsi="仿宋" w:eastAsia="方正仿宋_GBK"/>
          <w:szCs w:val="28"/>
        </w:rPr>
      </w:pPr>
      <w:r>
        <w:rPr>
          <w:rFonts w:hint="eastAsia" w:ascii="方正仿宋_GBK" w:hAnsi="仿宋" w:eastAsia="方正仿宋_GBK"/>
          <w:szCs w:val="28"/>
        </w:rPr>
        <w:t>（结束）</w:t>
      </w:r>
    </w:p>
    <w:p>
      <w:pPr>
        <w:pStyle w:val="4"/>
        <w:spacing w:before="0" w:after="0" w:line="560" w:lineRule="exact"/>
        <w:rPr>
          <w:szCs w:val="21"/>
        </w:rPr>
      </w:pPr>
    </w:p>
    <w:sectPr>
      <w:headerReference r:id="rId7" w:type="default"/>
      <w:footerReference r:id="rId8" w:type="default"/>
      <w:footerReference r:id="rId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_GB2312">
    <w:altName w:val="AMGDT"/>
    <w:panose1 w:val="00000000000000000000"/>
    <w:charset w:val="00"/>
    <w:family w:val="auto"/>
    <w:pitch w:val="default"/>
    <w:sig w:usb0="00000000" w:usb1="00000000" w:usb2="00000000" w:usb3="00000000" w:csb0="00000001" w:csb1="00000000"/>
  </w:font>
  <w:font w:name="AMGDT">
    <w:panose1 w:val="02000400000000000000"/>
    <w:charset w:val="00"/>
    <w:family w:val="auto"/>
    <w:pitch w:val="default"/>
    <w:sig w:usb0="80000003" w:usb1="1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imes">
    <w:altName w:val="Times New Roman"/>
    <w:panose1 w:val="02020603050405020304"/>
    <w:charset w:val="00"/>
    <w:family w:val="auto"/>
    <w:pitch w:val="default"/>
    <w:sig w:usb0="00000000" w:usb1="00000000" w:usb2="00000000" w:usb3="00000000" w:csb0="2000019F" w:csb1="4F010000"/>
  </w:font>
  <w:font w:name="Songti SC">
    <w:altName w:val="宋体"/>
    <w:panose1 w:val="00000000000000000000"/>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Malgun Gothic Semilight">
    <w:altName w:val="宋体"/>
    <w:panose1 w:val="020B0502040204020203"/>
    <w:charset w:val="86"/>
    <w:family w:val="swiss"/>
    <w:pitch w:val="default"/>
    <w:sig w:usb0="00000000" w:usb1="00000000"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86182"/>
    </w:sdtPr>
    <w:sdtContent>
      <w:p>
        <w:pPr>
          <w:pStyle w:val="35"/>
          <w:jc w:val="center"/>
        </w:pPr>
        <w:r>
          <w:fldChar w:fldCharType="begin"/>
        </w:r>
        <w:r>
          <w:instrText xml:space="preserve"> PAGE   \* MERGEFORMAT </w:instrText>
        </w:r>
        <w:r>
          <w:fldChar w:fldCharType="separate"/>
        </w:r>
        <w:r>
          <w:rPr>
            <w:lang w:val="zh-CN"/>
          </w:rPr>
          <w:t>-</w:t>
        </w:r>
        <w:r>
          <w:t xml:space="preserve"> 14 -</w:t>
        </w:r>
        <w:r>
          <w:fldChar w:fldCharType="end"/>
        </w:r>
      </w:p>
    </w:sdtContent>
  </w:sdt>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- 40 -</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end"/>
    </w:r>
  </w:p>
  <w:p>
    <w:pPr>
      <w:pStyle w:val="3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rPr>
        <w:rStyle w:val="61"/>
      </w:rPr>
      <w:fldChar w:fldCharType="begin"/>
    </w:r>
    <w:r>
      <w:rPr>
        <w:rStyle w:val="61"/>
      </w:rPr>
      <w:instrText xml:space="preserve">PAGE  </w:instrText>
    </w:r>
    <w:r>
      <w:rPr>
        <w:rStyle w:val="61"/>
      </w:rPr>
      <w:fldChar w:fldCharType="separate"/>
    </w:r>
    <w:r>
      <w:rPr>
        <w:rStyle w:val="61"/>
      </w:rPr>
      <w:t>59</w:t>
    </w:r>
    <w:r>
      <w:rPr>
        <w:rStyle w:val="61"/>
      </w:rPr>
      <w:fldChar w:fldCharType="end"/>
    </w:r>
  </w:p>
  <w:p>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rPr>
        <w:rStyle w:val="61"/>
      </w:rPr>
      <w:fldChar w:fldCharType="begin"/>
    </w:r>
    <w:r>
      <w:rPr>
        <w:rStyle w:val="61"/>
      </w:rPr>
      <w:instrText xml:space="preserve">PAGE  </w:instrText>
    </w:r>
    <w:r>
      <w:rPr>
        <w:rStyle w:val="61"/>
      </w:rPr>
      <w:fldChar w:fldCharType="end"/>
    </w:r>
  </w:p>
  <w:p>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江北区中医院竞争性磋商文件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Fonts w:hint="eastAsia"/>
      </w:rPr>
      <w:t>重庆市江北区中医院竞争性磋商文件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AF3B49"/>
    <w:multiLevelType w:val="singleLevel"/>
    <w:tmpl w:val="DEAF3B49"/>
    <w:lvl w:ilvl="0" w:tentative="0">
      <w:start w:val="1"/>
      <w:numFmt w:val="decimal"/>
      <w:suff w:val="nothing"/>
      <w:lvlText w:val="%1、"/>
      <w:lvlJc w:val="left"/>
    </w:lvl>
  </w:abstractNum>
  <w:abstractNum w:abstractNumId="1">
    <w:nsid w:val="E6BE7563"/>
    <w:multiLevelType w:val="singleLevel"/>
    <w:tmpl w:val="E6BE7563"/>
    <w:lvl w:ilvl="0" w:tentative="0">
      <w:start w:val="1"/>
      <w:numFmt w:val="decimal"/>
      <w:suff w:val="nothing"/>
      <w:lvlText w:val="%1、"/>
      <w:lvlJc w:val="left"/>
    </w:lvl>
  </w:abstractNum>
  <w:abstractNum w:abstractNumId="2">
    <w:nsid w:val="0DC0A635"/>
    <w:multiLevelType w:val="singleLevel"/>
    <w:tmpl w:val="0DC0A635"/>
    <w:lvl w:ilvl="0" w:tentative="0">
      <w:start w:val="1"/>
      <w:numFmt w:val="decimal"/>
      <w:suff w:val="nothing"/>
      <w:lvlText w:val="%1、"/>
      <w:lvlJc w:val="left"/>
    </w:lvl>
  </w:abstractNum>
  <w:abstractNum w:abstractNumId="3">
    <w:nsid w:val="612B668D"/>
    <w:multiLevelType w:val="singleLevel"/>
    <w:tmpl w:val="612B668D"/>
    <w:lvl w:ilvl="0" w:tentative="0">
      <w:start w:val="1"/>
      <w:numFmt w:val="decimalEnclosedCircleChinese"/>
      <w:suff w:val="nothing"/>
      <w:lvlText w:val="%1　"/>
      <w:lvlJc w:val="left"/>
      <w:pPr>
        <w:ind w:left="0" w:firstLine="400"/>
      </w:pPr>
      <w:rPr>
        <w:rFonts w:hint="eastAsia"/>
      </w:rPr>
    </w:lvl>
  </w:abstractNum>
  <w:abstractNum w:abstractNumId="4">
    <w:nsid w:val="61781326"/>
    <w:multiLevelType w:val="singleLevel"/>
    <w:tmpl w:val="61781326"/>
    <w:lvl w:ilvl="0" w:tentative="0">
      <w:start w:val="5"/>
      <w:numFmt w:val="decimal"/>
      <w:suff w:val="nothing"/>
      <w:lvlText w:val="(%1)"/>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B1315"/>
    <w:rsid w:val="00000FAB"/>
    <w:rsid w:val="00004BB2"/>
    <w:rsid w:val="000113C7"/>
    <w:rsid w:val="000137AB"/>
    <w:rsid w:val="0001422B"/>
    <w:rsid w:val="00015077"/>
    <w:rsid w:val="0001575C"/>
    <w:rsid w:val="000242B8"/>
    <w:rsid w:val="00031045"/>
    <w:rsid w:val="00032118"/>
    <w:rsid w:val="00033A40"/>
    <w:rsid w:val="00037369"/>
    <w:rsid w:val="0004031E"/>
    <w:rsid w:val="000431F2"/>
    <w:rsid w:val="0004430E"/>
    <w:rsid w:val="000444AD"/>
    <w:rsid w:val="00047279"/>
    <w:rsid w:val="00050823"/>
    <w:rsid w:val="000559C3"/>
    <w:rsid w:val="00057763"/>
    <w:rsid w:val="00063247"/>
    <w:rsid w:val="00064EC2"/>
    <w:rsid w:val="00070E1F"/>
    <w:rsid w:val="00072FED"/>
    <w:rsid w:val="000737AB"/>
    <w:rsid w:val="000738E5"/>
    <w:rsid w:val="00073A43"/>
    <w:rsid w:val="00076438"/>
    <w:rsid w:val="000830A9"/>
    <w:rsid w:val="00091851"/>
    <w:rsid w:val="000918B1"/>
    <w:rsid w:val="00093879"/>
    <w:rsid w:val="0009469A"/>
    <w:rsid w:val="000A24EB"/>
    <w:rsid w:val="000B1315"/>
    <w:rsid w:val="000B40F3"/>
    <w:rsid w:val="000C0675"/>
    <w:rsid w:val="000C35FA"/>
    <w:rsid w:val="000C5DA2"/>
    <w:rsid w:val="000C6579"/>
    <w:rsid w:val="000C6F61"/>
    <w:rsid w:val="000D52FF"/>
    <w:rsid w:val="000E1626"/>
    <w:rsid w:val="000F7B05"/>
    <w:rsid w:val="00103D19"/>
    <w:rsid w:val="001059C7"/>
    <w:rsid w:val="00110283"/>
    <w:rsid w:val="001135C3"/>
    <w:rsid w:val="00123E9A"/>
    <w:rsid w:val="001250DD"/>
    <w:rsid w:val="001316E6"/>
    <w:rsid w:val="0013267D"/>
    <w:rsid w:val="001341A2"/>
    <w:rsid w:val="00137D5A"/>
    <w:rsid w:val="00137DEA"/>
    <w:rsid w:val="001411C1"/>
    <w:rsid w:val="0014249C"/>
    <w:rsid w:val="00144F1A"/>
    <w:rsid w:val="00147D24"/>
    <w:rsid w:val="00150F1A"/>
    <w:rsid w:val="00151D61"/>
    <w:rsid w:val="00153913"/>
    <w:rsid w:val="00153DC3"/>
    <w:rsid w:val="0015422D"/>
    <w:rsid w:val="0015616C"/>
    <w:rsid w:val="001706D7"/>
    <w:rsid w:val="00171A86"/>
    <w:rsid w:val="00175C1C"/>
    <w:rsid w:val="001806E6"/>
    <w:rsid w:val="00182745"/>
    <w:rsid w:val="001827A3"/>
    <w:rsid w:val="00184855"/>
    <w:rsid w:val="00184898"/>
    <w:rsid w:val="00186DE1"/>
    <w:rsid w:val="0019238F"/>
    <w:rsid w:val="00195618"/>
    <w:rsid w:val="001A6A75"/>
    <w:rsid w:val="001B6CE3"/>
    <w:rsid w:val="001C667B"/>
    <w:rsid w:val="001C67EF"/>
    <w:rsid w:val="001D0D6B"/>
    <w:rsid w:val="001D161E"/>
    <w:rsid w:val="001D4646"/>
    <w:rsid w:val="001E16F7"/>
    <w:rsid w:val="001E66B9"/>
    <w:rsid w:val="001F0A83"/>
    <w:rsid w:val="001F25DA"/>
    <w:rsid w:val="001F4557"/>
    <w:rsid w:val="00200E11"/>
    <w:rsid w:val="00202AF6"/>
    <w:rsid w:val="002149BC"/>
    <w:rsid w:val="002218E2"/>
    <w:rsid w:val="002247F8"/>
    <w:rsid w:val="00224814"/>
    <w:rsid w:val="0022594E"/>
    <w:rsid w:val="0022611E"/>
    <w:rsid w:val="002262F0"/>
    <w:rsid w:val="00230970"/>
    <w:rsid w:val="00233FAB"/>
    <w:rsid w:val="0023763D"/>
    <w:rsid w:val="002421C4"/>
    <w:rsid w:val="002422D6"/>
    <w:rsid w:val="00242600"/>
    <w:rsid w:val="00244CAE"/>
    <w:rsid w:val="002459C2"/>
    <w:rsid w:val="00246756"/>
    <w:rsid w:val="00246DB9"/>
    <w:rsid w:val="00252762"/>
    <w:rsid w:val="0025581E"/>
    <w:rsid w:val="00256F05"/>
    <w:rsid w:val="00260F58"/>
    <w:rsid w:val="00261066"/>
    <w:rsid w:val="00262755"/>
    <w:rsid w:val="0026643B"/>
    <w:rsid w:val="00271323"/>
    <w:rsid w:val="00273BF6"/>
    <w:rsid w:val="00274739"/>
    <w:rsid w:val="0027601C"/>
    <w:rsid w:val="002800B7"/>
    <w:rsid w:val="00280F6C"/>
    <w:rsid w:val="00281073"/>
    <w:rsid w:val="00284481"/>
    <w:rsid w:val="00284F51"/>
    <w:rsid w:val="00284FAD"/>
    <w:rsid w:val="00286BCA"/>
    <w:rsid w:val="0029198F"/>
    <w:rsid w:val="002962FA"/>
    <w:rsid w:val="002A085A"/>
    <w:rsid w:val="002A2CDE"/>
    <w:rsid w:val="002A331A"/>
    <w:rsid w:val="002B2023"/>
    <w:rsid w:val="002B2C0A"/>
    <w:rsid w:val="002C6CF3"/>
    <w:rsid w:val="002C7A66"/>
    <w:rsid w:val="002D06BA"/>
    <w:rsid w:val="002D0B19"/>
    <w:rsid w:val="002D4D64"/>
    <w:rsid w:val="002D7858"/>
    <w:rsid w:val="002E16FC"/>
    <w:rsid w:val="002E2D45"/>
    <w:rsid w:val="002E5191"/>
    <w:rsid w:val="002E5F87"/>
    <w:rsid w:val="002E6697"/>
    <w:rsid w:val="002F0F4D"/>
    <w:rsid w:val="002F15F0"/>
    <w:rsid w:val="002F1B86"/>
    <w:rsid w:val="002F367F"/>
    <w:rsid w:val="002F54A7"/>
    <w:rsid w:val="002F5954"/>
    <w:rsid w:val="002F61B1"/>
    <w:rsid w:val="00300AB5"/>
    <w:rsid w:val="003019D7"/>
    <w:rsid w:val="00301D67"/>
    <w:rsid w:val="00303374"/>
    <w:rsid w:val="003058B6"/>
    <w:rsid w:val="00306907"/>
    <w:rsid w:val="00311BD5"/>
    <w:rsid w:val="0032000B"/>
    <w:rsid w:val="00320A54"/>
    <w:rsid w:val="00322F0C"/>
    <w:rsid w:val="003233B5"/>
    <w:rsid w:val="00324A1D"/>
    <w:rsid w:val="003260FB"/>
    <w:rsid w:val="00326879"/>
    <w:rsid w:val="003335A5"/>
    <w:rsid w:val="00335582"/>
    <w:rsid w:val="00344207"/>
    <w:rsid w:val="00345DD7"/>
    <w:rsid w:val="0035278D"/>
    <w:rsid w:val="0035331D"/>
    <w:rsid w:val="00354416"/>
    <w:rsid w:val="003560C4"/>
    <w:rsid w:val="00356122"/>
    <w:rsid w:val="00361D6F"/>
    <w:rsid w:val="00364C24"/>
    <w:rsid w:val="003659FC"/>
    <w:rsid w:val="00373BF4"/>
    <w:rsid w:val="00373E5C"/>
    <w:rsid w:val="00374B9E"/>
    <w:rsid w:val="00374FEF"/>
    <w:rsid w:val="00382F05"/>
    <w:rsid w:val="00384FB6"/>
    <w:rsid w:val="00393578"/>
    <w:rsid w:val="00394CB9"/>
    <w:rsid w:val="00395EB4"/>
    <w:rsid w:val="003963FE"/>
    <w:rsid w:val="00396631"/>
    <w:rsid w:val="00396F67"/>
    <w:rsid w:val="00397586"/>
    <w:rsid w:val="003A05DD"/>
    <w:rsid w:val="003A226A"/>
    <w:rsid w:val="003A3C7A"/>
    <w:rsid w:val="003A476A"/>
    <w:rsid w:val="003A52E8"/>
    <w:rsid w:val="003B0F14"/>
    <w:rsid w:val="003B517B"/>
    <w:rsid w:val="003B762E"/>
    <w:rsid w:val="003C02AC"/>
    <w:rsid w:val="003C08E6"/>
    <w:rsid w:val="003C6274"/>
    <w:rsid w:val="003D0827"/>
    <w:rsid w:val="003D1DF8"/>
    <w:rsid w:val="003D45CA"/>
    <w:rsid w:val="003D6C03"/>
    <w:rsid w:val="003D7948"/>
    <w:rsid w:val="003D7E1A"/>
    <w:rsid w:val="003E12D2"/>
    <w:rsid w:val="003E45A6"/>
    <w:rsid w:val="003F1657"/>
    <w:rsid w:val="003F205F"/>
    <w:rsid w:val="003F4B80"/>
    <w:rsid w:val="003F50ED"/>
    <w:rsid w:val="003F7BB8"/>
    <w:rsid w:val="004004CE"/>
    <w:rsid w:val="00402ABA"/>
    <w:rsid w:val="00405993"/>
    <w:rsid w:val="00405AA0"/>
    <w:rsid w:val="00405C91"/>
    <w:rsid w:val="00407B90"/>
    <w:rsid w:val="00420927"/>
    <w:rsid w:val="00422B8A"/>
    <w:rsid w:val="00424066"/>
    <w:rsid w:val="00425DAC"/>
    <w:rsid w:val="0042633E"/>
    <w:rsid w:val="00426568"/>
    <w:rsid w:val="00427E4A"/>
    <w:rsid w:val="004302EE"/>
    <w:rsid w:val="00432D67"/>
    <w:rsid w:val="0043302B"/>
    <w:rsid w:val="00433A6A"/>
    <w:rsid w:val="004345F3"/>
    <w:rsid w:val="00440D0C"/>
    <w:rsid w:val="004415AD"/>
    <w:rsid w:val="0044285F"/>
    <w:rsid w:val="00445114"/>
    <w:rsid w:val="00446B33"/>
    <w:rsid w:val="00453BCE"/>
    <w:rsid w:val="0045473E"/>
    <w:rsid w:val="004549B9"/>
    <w:rsid w:val="00455B12"/>
    <w:rsid w:val="00461DEE"/>
    <w:rsid w:val="00461E07"/>
    <w:rsid w:val="00462B54"/>
    <w:rsid w:val="00465CBF"/>
    <w:rsid w:val="004666C1"/>
    <w:rsid w:val="004666D8"/>
    <w:rsid w:val="004730CF"/>
    <w:rsid w:val="0047399D"/>
    <w:rsid w:val="00473C05"/>
    <w:rsid w:val="00481933"/>
    <w:rsid w:val="00485282"/>
    <w:rsid w:val="00487EDA"/>
    <w:rsid w:val="00491AF8"/>
    <w:rsid w:val="004928F9"/>
    <w:rsid w:val="00492B8F"/>
    <w:rsid w:val="00493A74"/>
    <w:rsid w:val="004954D6"/>
    <w:rsid w:val="004A1518"/>
    <w:rsid w:val="004A6072"/>
    <w:rsid w:val="004B0CF5"/>
    <w:rsid w:val="004B5E5A"/>
    <w:rsid w:val="004C452C"/>
    <w:rsid w:val="004C5B19"/>
    <w:rsid w:val="004C6E17"/>
    <w:rsid w:val="004D3A22"/>
    <w:rsid w:val="004D5A23"/>
    <w:rsid w:val="004E07DE"/>
    <w:rsid w:val="004E28BC"/>
    <w:rsid w:val="004E3C4E"/>
    <w:rsid w:val="004E4465"/>
    <w:rsid w:val="004E5F6A"/>
    <w:rsid w:val="004F114E"/>
    <w:rsid w:val="004F19EE"/>
    <w:rsid w:val="004F3F71"/>
    <w:rsid w:val="004F5A9B"/>
    <w:rsid w:val="004F5C7E"/>
    <w:rsid w:val="00500A7E"/>
    <w:rsid w:val="00503990"/>
    <w:rsid w:val="00503A22"/>
    <w:rsid w:val="00504322"/>
    <w:rsid w:val="00504E19"/>
    <w:rsid w:val="00511123"/>
    <w:rsid w:val="00516940"/>
    <w:rsid w:val="00520393"/>
    <w:rsid w:val="005235E9"/>
    <w:rsid w:val="00526895"/>
    <w:rsid w:val="00533D0C"/>
    <w:rsid w:val="005377BE"/>
    <w:rsid w:val="00550686"/>
    <w:rsid w:val="00550CD9"/>
    <w:rsid w:val="005512CB"/>
    <w:rsid w:val="0055443D"/>
    <w:rsid w:val="00556008"/>
    <w:rsid w:val="00557123"/>
    <w:rsid w:val="005572E3"/>
    <w:rsid w:val="00557E28"/>
    <w:rsid w:val="00563634"/>
    <w:rsid w:val="00563824"/>
    <w:rsid w:val="0057071A"/>
    <w:rsid w:val="00570F75"/>
    <w:rsid w:val="00571728"/>
    <w:rsid w:val="00571A69"/>
    <w:rsid w:val="00581387"/>
    <w:rsid w:val="005862D7"/>
    <w:rsid w:val="00587D13"/>
    <w:rsid w:val="00590FE1"/>
    <w:rsid w:val="00591BC7"/>
    <w:rsid w:val="0059314C"/>
    <w:rsid w:val="0059392A"/>
    <w:rsid w:val="005956E2"/>
    <w:rsid w:val="00595CC6"/>
    <w:rsid w:val="00597366"/>
    <w:rsid w:val="005A1CFB"/>
    <w:rsid w:val="005A378E"/>
    <w:rsid w:val="005A3960"/>
    <w:rsid w:val="005A39B4"/>
    <w:rsid w:val="005A4151"/>
    <w:rsid w:val="005A4D47"/>
    <w:rsid w:val="005B1CAB"/>
    <w:rsid w:val="005C3DE8"/>
    <w:rsid w:val="005D0793"/>
    <w:rsid w:val="005D286A"/>
    <w:rsid w:val="005D2D30"/>
    <w:rsid w:val="005E0A44"/>
    <w:rsid w:val="005E125E"/>
    <w:rsid w:val="005E1411"/>
    <w:rsid w:val="005E3755"/>
    <w:rsid w:val="005E3F0A"/>
    <w:rsid w:val="005F0581"/>
    <w:rsid w:val="005F69DE"/>
    <w:rsid w:val="005F6D50"/>
    <w:rsid w:val="005F7DA6"/>
    <w:rsid w:val="0060730D"/>
    <w:rsid w:val="006165AB"/>
    <w:rsid w:val="006171DA"/>
    <w:rsid w:val="006204AB"/>
    <w:rsid w:val="006220BC"/>
    <w:rsid w:val="0062344F"/>
    <w:rsid w:val="006257A7"/>
    <w:rsid w:val="006259A5"/>
    <w:rsid w:val="00627F6E"/>
    <w:rsid w:val="0063443C"/>
    <w:rsid w:val="00635D84"/>
    <w:rsid w:val="00636B51"/>
    <w:rsid w:val="0063734D"/>
    <w:rsid w:val="006414DA"/>
    <w:rsid w:val="00642E4C"/>
    <w:rsid w:val="00643352"/>
    <w:rsid w:val="00644101"/>
    <w:rsid w:val="006448F2"/>
    <w:rsid w:val="00652390"/>
    <w:rsid w:val="00653C35"/>
    <w:rsid w:val="00654763"/>
    <w:rsid w:val="00660860"/>
    <w:rsid w:val="006615EE"/>
    <w:rsid w:val="00662B07"/>
    <w:rsid w:val="006632A5"/>
    <w:rsid w:val="00664CE3"/>
    <w:rsid w:val="00665C48"/>
    <w:rsid w:val="00665F84"/>
    <w:rsid w:val="0067250B"/>
    <w:rsid w:val="006729E7"/>
    <w:rsid w:val="00677DE2"/>
    <w:rsid w:val="00682296"/>
    <w:rsid w:val="00682FBF"/>
    <w:rsid w:val="00684A4B"/>
    <w:rsid w:val="00690A23"/>
    <w:rsid w:val="00691536"/>
    <w:rsid w:val="00697862"/>
    <w:rsid w:val="00697CFA"/>
    <w:rsid w:val="006A1143"/>
    <w:rsid w:val="006A72C1"/>
    <w:rsid w:val="006B20D4"/>
    <w:rsid w:val="006B507C"/>
    <w:rsid w:val="006B734B"/>
    <w:rsid w:val="006B75E3"/>
    <w:rsid w:val="006D316D"/>
    <w:rsid w:val="006D4F25"/>
    <w:rsid w:val="006D73FF"/>
    <w:rsid w:val="006E27A5"/>
    <w:rsid w:val="006E3BB4"/>
    <w:rsid w:val="006E5D4E"/>
    <w:rsid w:val="006F1874"/>
    <w:rsid w:val="006F2684"/>
    <w:rsid w:val="006F3A25"/>
    <w:rsid w:val="0070215B"/>
    <w:rsid w:val="00704255"/>
    <w:rsid w:val="0070464C"/>
    <w:rsid w:val="00704F75"/>
    <w:rsid w:val="007074B0"/>
    <w:rsid w:val="00707A85"/>
    <w:rsid w:val="00711B57"/>
    <w:rsid w:val="007124E2"/>
    <w:rsid w:val="0071421A"/>
    <w:rsid w:val="007152A6"/>
    <w:rsid w:val="00716373"/>
    <w:rsid w:val="007219AA"/>
    <w:rsid w:val="00723443"/>
    <w:rsid w:val="00724D27"/>
    <w:rsid w:val="007301BF"/>
    <w:rsid w:val="00732665"/>
    <w:rsid w:val="0073420F"/>
    <w:rsid w:val="007346BF"/>
    <w:rsid w:val="00734AC3"/>
    <w:rsid w:val="00736242"/>
    <w:rsid w:val="00737B7B"/>
    <w:rsid w:val="007455AC"/>
    <w:rsid w:val="00751863"/>
    <w:rsid w:val="00752F65"/>
    <w:rsid w:val="00754FFF"/>
    <w:rsid w:val="00756641"/>
    <w:rsid w:val="007602D9"/>
    <w:rsid w:val="00760DEE"/>
    <w:rsid w:val="00761515"/>
    <w:rsid w:val="007669DF"/>
    <w:rsid w:val="00770AA0"/>
    <w:rsid w:val="00776652"/>
    <w:rsid w:val="007821E9"/>
    <w:rsid w:val="007836F1"/>
    <w:rsid w:val="00784062"/>
    <w:rsid w:val="007A0D81"/>
    <w:rsid w:val="007A293A"/>
    <w:rsid w:val="007A29E2"/>
    <w:rsid w:val="007A6377"/>
    <w:rsid w:val="007B09D2"/>
    <w:rsid w:val="007B2FC0"/>
    <w:rsid w:val="007B5F80"/>
    <w:rsid w:val="007D2247"/>
    <w:rsid w:val="007D2D9F"/>
    <w:rsid w:val="007D45CD"/>
    <w:rsid w:val="007D5256"/>
    <w:rsid w:val="007D74B6"/>
    <w:rsid w:val="007D7FE3"/>
    <w:rsid w:val="007E0BC1"/>
    <w:rsid w:val="007E1051"/>
    <w:rsid w:val="007F0897"/>
    <w:rsid w:val="007F25B2"/>
    <w:rsid w:val="007F353C"/>
    <w:rsid w:val="007F7388"/>
    <w:rsid w:val="008008BE"/>
    <w:rsid w:val="00801D16"/>
    <w:rsid w:val="00804A7E"/>
    <w:rsid w:val="00807483"/>
    <w:rsid w:val="00821B8D"/>
    <w:rsid w:val="00821EDF"/>
    <w:rsid w:val="0082642A"/>
    <w:rsid w:val="008275A1"/>
    <w:rsid w:val="00831848"/>
    <w:rsid w:val="00832E29"/>
    <w:rsid w:val="008336D7"/>
    <w:rsid w:val="00833DD5"/>
    <w:rsid w:val="00841BE1"/>
    <w:rsid w:val="00843BBC"/>
    <w:rsid w:val="00850540"/>
    <w:rsid w:val="00851DBB"/>
    <w:rsid w:val="00852E10"/>
    <w:rsid w:val="00860ED5"/>
    <w:rsid w:val="008631B5"/>
    <w:rsid w:val="00863A71"/>
    <w:rsid w:val="0086425A"/>
    <w:rsid w:val="00870BF1"/>
    <w:rsid w:val="008734FF"/>
    <w:rsid w:val="008851AA"/>
    <w:rsid w:val="008A179D"/>
    <w:rsid w:val="008A40A3"/>
    <w:rsid w:val="008A6B45"/>
    <w:rsid w:val="008A7CD8"/>
    <w:rsid w:val="008B29DA"/>
    <w:rsid w:val="008B5D02"/>
    <w:rsid w:val="008B71FC"/>
    <w:rsid w:val="008C0327"/>
    <w:rsid w:val="008C353E"/>
    <w:rsid w:val="008C4E32"/>
    <w:rsid w:val="008D0679"/>
    <w:rsid w:val="008D3C8A"/>
    <w:rsid w:val="008D3E4F"/>
    <w:rsid w:val="008D64DC"/>
    <w:rsid w:val="008D699C"/>
    <w:rsid w:val="008D6B9C"/>
    <w:rsid w:val="008D711D"/>
    <w:rsid w:val="008D7DFA"/>
    <w:rsid w:val="008E05C8"/>
    <w:rsid w:val="008E5A58"/>
    <w:rsid w:val="008E731D"/>
    <w:rsid w:val="008F0525"/>
    <w:rsid w:val="008F0C67"/>
    <w:rsid w:val="008F0DCC"/>
    <w:rsid w:val="008F273F"/>
    <w:rsid w:val="008F4D69"/>
    <w:rsid w:val="0090323E"/>
    <w:rsid w:val="009039E1"/>
    <w:rsid w:val="009148B6"/>
    <w:rsid w:val="00916F72"/>
    <w:rsid w:val="00923448"/>
    <w:rsid w:val="009235F8"/>
    <w:rsid w:val="00924754"/>
    <w:rsid w:val="00925017"/>
    <w:rsid w:val="0092683B"/>
    <w:rsid w:val="00927923"/>
    <w:rsid w:val="00934D93"/>
    <w:rsid w:val="00940B39"/>
    <w:rsid w:val="00945A2B"/>
    <w:rsid w:val="00946C6C"/>
    <w:rsid w:val="009473DF"/>
    <w:rsid w:val="009517DA"/>
    <w:rsid w:val="00952145"/>
    <w:rsid w:val="009546D3"/>
    <w:rsid w:val="0096033E"/>
    <w:rsid w:val="00961C9F"/>
    <w:rsid w:val="00963515"/>
    <w:rsid w:val="00964114"/>
    <w:rsid w:val="00966594"/>
    <w:rsid w:val="009748AB"/>
    <w:rsid w:val="00976EF7"/>
    <w:rsid w:val="009814EC"/>
    <w:rsid w:val="00981BA4"/>
    <w:rsid w:val="00990241"/>
    <w:rsid w:val="00990D5F"/>
    <w:rsid w:val="00990EA3"/>
    <w:rsid w:val="00992511"/>
    <w:rsid w:val="00992667"/>
    <w:rsid w:val="00992675"/>
    <w:rsid w:val="00993F1B"/>
    <w:rsid w:val="00996339"/>
    <w:rsid w:val="00997135"/>
    <w:rsid w:val="00997E35"/>
    <w:rsid w:val="009A1A86"/>
    <w:rsid w:val="009A2040"/>
    <w:rsid w:val="009B139D"/>
    <w:rsid w:val="009B339C"/>
    <w:rsid w:val="009C7557"/>
    <w:rsid w:val="009C7CE4"/>
    <w:rsid w:val="009D19F3"/>
    <w:rsid w:val="009D34BC"/>
    <w:rsid w:val="009E3E20"/>
    <w:rsid w:val="009E4AF7"/>
    <w:rsid w:val="009E4D71"/>
    <w:rsid w:val="009E5AF0"/>
    <w:rsid w:val="009E7326"/>
    <w:rsid w:val="009F057B"/>
    <w:rsid w:val="009F2DA7"/>
    <w:rsid w:val="009F3C7D"/>
    <w:rsid w:val="009F5D54"/>
    <w:rsid w:val="009F66EB"/>
    <w:rsid w:val="00A020E2"/>
    <w:rsid w:val="00A03E2B"/>
    <w:rsid w:val="00A050ED"/>
    <w:rsid w:val="00A0705D"/>
    <w:rsid w:val="00A1203B"/>
    <w:rsid w:val="00A12E74"/>
    <w:rsid w:val="00A12EF3"/>
    <w:rsid w:val="00A13A76"/>
    <w:rsid w:val="00A1626B"/>
    <w:rsid w:val="00A2307F"/>
    <w:rsid w:val="00A23869"/>
    <w:rsid w:val="00A2436B"/>
    <w:rsid w:val="00A30EE1"/>
    <w:rsid w:val="00A3265D"/>
    <w:rsid w:val="00A35B6F"/>
    <w:rsid w:val="00A35DB7"/>
    <w:rsid w:val="00A37251"/>
    <w:rsid w:val="00A42158"/>
    <w:rsid w:val="00A4446D"/>
    <w:rsid w:val="00A50A79"/>
    <w:rsid w:val="00A54AEC"/>
    <w:rsid w:val="00A65F57"/>
    <w:rsid w:val="00A84576"/>
    <w:rsid w:val="00A86FD8"/>
    <w:rsid w:val="00A91571"/>
    <w:rsid w:val="00A93B74"/>
    <w:rsid w:val="00A9424A"/>
    <w:rsid w:val="00A94488"/>
    <w:rsid w:val="00A963E8"/>
    <w:rsid w:val="00A972B3"/>
    <w:rsid w:val="00AA33EF"/>
    <w:rsid w:val="00AA5820"/>
    <w:rsid w:val="00AB12DC"/>
    <w:rsid w:val="00AB1479"/>
    <w:rsid w:val="00AB1887"/>
    <w:rsid w:val="00AB3924"/>
    <w:rsid w:val="00AB4258"/>
    <w:rsid w:val="00AC007B"/>
    <w:rsid w:val="00AC237B"/>
    <w:rsid w:val="00AC2EA2"/>
    <w:rsid w:val="00AC398E"/>
    <w:rsid w:val="00AC6EC4"/>
    <w:rsid w:val="00AC7195"/>
    <w:rsid w:val="00AD06FB"/>
    <w:rsid w:val="00AD07C1"/>
    <w:rsid w:val="00AD1FE6"/>
    <w:rsid w:val="00AE0449"/>
    <w:rsid w:val="00AE1269"/>
    <w:rsid w:val="00AE25EA"/>
    <w:rsid w:val="00AE352D"/>
    <w:rsid w:val="00AE4791"/>
    <w:rsid w:val="00AE5C99"/>
    <w:rsid w:val="00AF4700"/>
    <w:rsid w:val="00AF7A12"/>
    <w:rsid w:val="00B014A7"/>
    <w:rsid w:val="00B07C5D"/>
    <w:rsid w:val="00B1015A"/>
    <w:rsid w:val="00B13EC1"/>
    <w:rsid w:val="00B177EF"/>
    <w:rsid w:val="00B25752"/>
    <w:rsid w:val="00B25A50"/>
    <w:rsid w:val="00B312B0"/>
    <w:rsid w:val="00B32034"/>
    <w:rsid w:val="00B33984"/>
    <w:rsid w:val="00B34BAC"/>
    <w:rsid w:val="00B34D97"/>
    <w:rsid w:val="00B37E6D"/>
    <w:rsid w:val="00B427A1"/>
    <w:rsid w:val="00B42D01"/>
    <w:rsid w:val="00B45A64"/>
    <w:rsid w:val="00B46C22"/>
    <w:rsid w:val="00B4719F"/>
    <w:rsid w:val="00B528DE"/>
    <w:rsid w:val="00B5575C"/>
    <w:rsid w:val="00B562EB"/>
    <w:rsid w:val="00B6243B"/>
    <w:rsid w:val="00B663D2"/>
    <w:rsid w:val="00B66B77"/>
    <w:rsid w:val="00B703EB"/>
    <w:rsid w:val="00B760B4"/>
    <w:rsid w:val="00B7611D"/>
    <w:rsid w:val="00B81F5A"/>
    <w:rsid w:val="00B824EA"/>
    <w:rsid w:val="00B82559"/>
    <w:rsid w:val="00B82EA4"/>
    <w:rsid w:val="00B86014"/>
    <w:rsid w:val="00B94983"/>
    <w:rsid w:val="00B95586"/>
    <w:rsid w:val="00B96606"/>
    <w:rsid w:val="00BA1D71"/>
    <w:rsid w:val="00BB2225"/>
    <w:rsid w:val="00BC2BB8"/>
    <w:rsid w:val="00BD1C42"/>
    <w:rsid w:val="00BD2A9D"/>
    <w:rsid w:val="00BD6883"/>
    <w:rsid w:val="00BE326E"/>
    <w:rsid w:val="00BE368F"/>
    <w:rsid w:val="00BE5AD5"/>
    <w:rsid w:val="00BF6BFA"/>
    <w:rsid w:val="00C013F8"/>
    <w:rsid w:val="00C105FC"/>
    <w:rsid w:val="00C10BB5"/>
    <w:rsid w:val="00C11DB2"/>
    <w:rsid w:val="00C15805"/>
    <w:rsid w:val="00C1667A"/>
    <w:rsid w:val="00C25265"/>
    <w:rsid w:val="00C26599"/>
    <w:rsid w:val="00C3064C"/>
    <w:rsid w:val="00C3423D"/>
    <w:rsid w:val="00C35CC3"/>
    <w:rsid w:val="00C36841"/>
    <w:rsid w:val="00C378B6"/>
    <w:rsid w:val="00C44DDE"/>
    <w:rsid w:val="00C471C4"/>
    <w:rsid w:val="00C61BBD"/>
    <w:rsid w:val="00C61E8F"/>
    <w:rsid w:val="00C66E5E"/>
    <w:rsid w:val="00C74FC3"/>
    <w:rsid w:val="00C77D39"/>
    <w:rsid w:val="00C81FD4"/>
    <w:rsid w:val="00C87331"/>
    <w:rsid w:val="00C91584"/>
    <w:rsid w:val="00C9185A"/>
    <w:rsid w:val="00CA0616"/>
    <w:rsid w:val="00CA2FAA"/>
    <w:rsid w:val="00CA5365"/>
    <w:rsid w:val="00CA5650"/>
    <w:rsid w:val="00CA651C"/>
    <w:rsid w:val="00CB3F03"/>
    <w:rsid w:val="00CB599E"/>
    <w:rsid w:val="00CB6D86"/>
    <w:rsid w:val="00CC0541"/>
    <w:rsid w:val="00CC1975"/>
    <w:rsid w:val="00CC1EBF"/>
    <w:rsid w:val="00CC2F7D"/>
    <w:rsid w:val="00CC2FFA"/>
    <w:rsid w:val="00CC40BF"/>
    <w:rsid w:val="00CC526A"/>
    <w:rsid w:val="00CC69B3"/>
    <w:rsid w:val="00CD2CB8"/>
    <w:rsid w:val="00CD341F"/>
    <w:rsid w:val="00CE0780"/>
    <w:rsid w:val="00CE4040"/>
    <w:rsid w:val="00CE5135"/>
    <w:rsid w:val="00CE55D4"/>
    <w:rsid w:val="00CE62AB"/>
    <w:rsid w:val="00CF05B1"/>
    <w:rsid w:val="00CF108D"/>
    <w:rsid w:val="00CF122F"/>
    <w:rsid w:val="00CF4633"/>
    <w:rsid w:val="00D03766"/>
    <w:rsid w:val="00D07F71"/>
    <w:rsid w:val="00D15084"/>
    <w:rsid w:val="00D164BB"/>
    <w:rsid w:val="00D17EA7"/>
    <w:rsid w:val="00D22A38"/>
    <w:rsid w:val="00D22BBD"/>
    <w:rsid w:val="00D268BA"/>
    <w:rsid w:val="00D26F95"/>
    <w:rsid w:val="00D2725B"/>
    <w:rsid w:val="00D27A2E"/>
    <w:rsid w:val="00D30211"/>
    <w:rsid w:val="00D30A05"/>
    <w:rsid w:val="00D31191"/>
    <w:rsid w:val="00D3652B"/>
    <w:rsid w:val="00D36E63"/>
    <w:rsid w:val="00D42011"/>
    <w:rsid w:val="00D46AF2"/>
    <w:rsid w:val="00D47A55"/>
    <w:rsid w:val="00D526B2"/>
    <w:rsid w:val="00D52B5F"/>
    <w:rsid w:val="00D57EDD"/>
    <w:rsid w:val="00D6050A"/>
    <w:rsid w:val="00D60754"/>
    <w:rsid w:val="00D62274"/>
    <w:rsid w:val="00D62740"/>
    <w:rsid w:val="00D64CDB"/>
    <w:rsid w:val="00D66053"/>
    <w:rsid w:val="00D66F7E"/>
    <w:rsid w:val="00D67816"/>
    <w:rsid w:val="00D67C51"/>
    <w:rsid w:val="00D8216C"/>
    <w:rsid w:val="00D84E28"/>
    <w:rsid w:val="00D936C3"/>
    <w:rsid w:val="00D940ED"/>
    <w:rsid w:val="00D946FC"/>
    <w:rsid w:val="00D94CC5"/>
    <w:rsid w:val="00D95179"/>
    <w:rsid w:val="00DA4382"/>
    <w:rsid w:val="00DA63B4"/>
    <w:rsid w:val="00DB0AAA"/>
    <w:rsid w:val="00DB13E2"/>
    <w:rsid w:val="00DB26A6"/>
    <w:rsid w:val="00DB6FBB"/>
    <w:rsid w:val="00DC0BC8"/>
    <w:rsid w:val="00DC3CD1"/>
    <w:rsid w:val="00DC4817"/>
    <w:rsid w:val="00DC7420"/>
    <w:rsid w:val="00DD12B3"/>
    <w:rsid w:val="00DD30D2"/>
    <w:rsid w:val="00DD6B45"/>
    <w:rsid w:val="00DE080C"/>
    <w:rsid w:val="00DE2176"/>
    <w:rsid w:val="00DE25C9"/>
    <w:rsid w:val="00DE2A1E"/>
    <w:rsid w:val="00DE312B"/>
    <w:rsid w:val="00DF1182"/>
    <w:rsid w:val="00DF2045"/>
    <w:rsid w:val="00DF256A"/>
    <w:rsid w:val="00DF4348"/>
    <w:rsid w:val="00DF4B65"/>
    <w:rsid w:val="00E022B9"/>
    <w:rsid w:val="00E029EE"/>
    <w:rsid w:val="00E043FC"/>
    <w:rsid w:val="00E10B82"/>
    <w:rsid w:val="00E13343"/>
    <w:rsid w:val="00E14702"/>
    <w:rsid w:val="00E16C30"/>
    <w:rsid w:val="00E16FCB"/>
    <w:rsid w:val="00E30D8D"/>
    <w:rsid w:val="00E35284"/>
    <w:rsid w:val="00E36FBC"/>
    <w:rsid w:val="00E37DB0"/>
    <w:rsid w:val="00E47E03"/>
    <w:rsid w:val="00E5058A"/>
    <w:rsid w:val="00E53557"/>
    <w:rsid w:val="00E53764"/>
    <w:rsid w:val="00E55CA4"/>
    <w:rsid w:val="00E579E7"/>
    <w:rsid w:val="00E602F4"/>
    <w:rsid w:val="00E60537"/>
    <w:rsid w:val="00E64FB8"/>
    <w:rsid w:val="00E66810"/>
    <w:rsid w:val="00E72458"/>
    <w:rsid w:val="00E7358F"/>
    <w:rsid w:val="00E74803"/>
    <w:rsid w:val="00E7696B"/>
    <w:rsid w:val="00E82D53"/>
    <w:rsid w:val="00E831CC"/>
    <w:rsid w:val="00E836C9"/>
    <w:rsid w:val="00E83CDD"/>
    <w:rsid w:val="00E85366"/>
    <w:rsid w:val="00E85CDC"/>
    <w:rsid w:val="00E90CD7"/>
    <w:rsid w:val="00E93CD1"/>
    <w:rsid w:val="00E972A3"/>
    <w:rsid w:val="00EA02E9"/>
    <w:rsid w:val="00EA3E73"/>
    <w:rsid w:val="00EA3ECF"/>
    <w:rsid w:val="00EA7ED5"/>
    <w:rsid w:val="00EB4B06"/>
    <w:rsid w:val="00EB5611"/>
    <w:rsid w:val="00EC0298"/>
    <w:rsid w:val="00EC20E2"/>
    <w:rsid w:val="00EC32E5"/>
    <w:rsid w:val="00EC6D48"/>
    <w:rsid w:val="00EC7831"/>
    <w:rsid w:val="00ED391A"/>
    <w:rsid w:val="00EE0970"/>
    <w:rsid w:val="00EE1855"/>
    <w:rsid w:val="00EF1184"/>
    <w:rsid w:val="00EF48BD"/>
    <w:rsid w:val="00EF7FDF"/>
    <w:rsid w:val="00F00264"/>
    <w:rsid w:val="00F00DAF"/>
    <w:rsid w:val="00F01183"/>
    <w:rsid w:val="00F01773"/>
    <w:rsid w:val="00F119C4"/>
    <w:rsid w:val="00F12A1E"/>
    <w:rsid w:val="00F16531"/>
    <w:rsid w:val="00F217FC"/>
    <w:rsid w:val="00F22FE3"/>
    <w:rsid w:val="00F240E2"/>
    <w:rsid w:val="00F258C4"/>
    <w:rsid w:val="00F258CD"/>
    <w:rsid w:val="00F32ABF"/>
    <w:rsid w:val="00F32BC7"/>
    <w:rsid w:val="00F35B31"/>
    <w:rsid w:val="00F36854"/>
    <w:rsid w:val="00F4164A"/>
    <w:rsid w:val="00F42761"/>
    <w:rsid w:val="00F61349"/>
    <w:rsid w:val="00F61845"/>
    <w:rsid w:val="00F62E45"/>
    <w:rsid w:val="00F637B6"/>
    <w:rsid w:val="00F63A26"/>
    <w:rsid w:val="00F64FFE"/>
    <w:rsid w:val="00F8376F"/>
    <w:rsid w:val="00F83D9F"/>
    <w:rsid w:val="00F84874"/>
    <w:rsid w:val="00F85A0F"/>
    <w:rsid w:val="00F96801"/>
    <w:rsid w:val="00F9683E"/>
    <w:rsid w:val="00F96F08"/>
    <w:rsid w:val="00FA3FC8"/>
    <w:rsid w:val="00FA4097"/>
    <w:rsid w:val="00FB672F"/>
    <w:rsid w:val="00FC5AA1"/>
    <w:rsid w:val="00FD138A"/>
    <w:rsid w:val="00FD30F2"/>
    <w:rsid w:val="00FD419A"/>
    <w:rsid w:val="00FE0FC4"/>
    <w:rsid w:val="00FE2269"/>
    <w:rsid w:val="00FE65B8"/>
    <w:rsid w:val="00FF104C"/>
    <w:rsid w:val="00FF633D"/>
    <w:rsid w:val="05883890"/>
    <w:rsid w:val="0588561A"/>
    <w:rsid w:val="08107307"/>
    <w:rsid w:val="09694DA0"/>
    <w:rsid w:val="097D6C87"/>
    <w:rsid w:val="09B34749"/>
    <w:rsid w:val="0A311F26"/>
    <w:rsid w:val="0B157125"/>
    <w:rsid w:val="0BCF19C1"/>
    <w:rsid w:val="0CBF0D30"/>
    <w:rsid w:val="0CFD5067"/>
    <w:rsid w:val="0DEB2968"/>
    <w:rsid w:val="0FF57604"/>
    <w:rsid w:val="1072350E"/>
    <w:rsid w:val="11AC0B6E"/>
    <w:rsid w:val="15ED2E2F"/>
    <w:rsid w:val="190C0D42"/>
    <w:rsid w:val="197F5E68"/>
    <w:rsid w:val="1A344BBE"/>
    <w:rsid w:val="1DCB5D55"/>
    <w:rsid w:val="1DEE2237"/>
    <w:rsid w:val="1EFE2D88"/>
    <w:rsid w:val="22757967"/>
    <w:rsid w:val="22BF1FAF"/>
    <w:rsid w:val="255F06ED"/>
    <w:rsid w:val="2623563A"/>
    <w:rsid w:val="265C434B"/>
    <w:rsid w:val="26A14931"/>
    <w:rsid w:val="283178B3"/>
    <w:rsid w:val="28B22266"/>
    <w:rsid w:val="28D33250"/>
    <w:rsid w:val="29666B7A"/>
    <w:rsid w:val="2DF86141"/>
    <w:rsid w:val="2E132342"/>
    <w:rsid w:val="2E3108CB"/>
    <w:rsid w:val="300F000B"/>
    <w:rsid w:val="31FE3364"/>
    <w:rsid w:val="332C5D6F"/>
    <w:rsid w:val="35797AB3"/>
    <w:rsid w:val="384F493A"/>
    <w:rsid w:val="39F11534"/>
    <w:rsid w:val="3A675026"/>
    <w:rsid w:val="3DC31401"/>
    <w:rsid w:val="3E330C0E"/>
    <w:rsid w:val="3ED3461E"/>
    <w:rsid w:val="45ED6C10"/>
    <w:rsid w:val="47A93EAE"/>
    <w:rsid w:val="485E23AA"/>
    <w:rsid w:val="498224EC"/>
    <w:rsid w:val="4AB625B4"/>
    <w:rsid w:val="4D1871CB"/>
    <w:rsid w:val="4DB808E8"/>
    <w:rsid w:val="4F854DA4"/>
    <w:rsid w:val="500C58AA"/>
    <w:rsid w:val="52A607EC"/>
    <w:rsid w:val="54CA6AFE"/>
    <w:rsid w:val="55E8108B"/>
    <w:rsid w:val="562415BA"/>
    <w:rsid w:val="56390D4C"/>
    <w:rsid w:val="5735562E"/>
    <w:rsid w:val="57BE5105"/>
    <w:rsid w:val="58A92837"/>
    <w:rsid w:val="5A3F79A4"/>
    <w:rsid w:val="5C2C6099"/>
    <w:rsid w:val="5C9F59E2"/>
    <w:rsid w:val="5E664204"/>
    <w:rsid w:val="5EE45F8E"/>
    <w:rsid w:val="5EF810A5"/>
    <w:rsid w:val="5F247CA9"/>
    <w:rsid w:val="604528C9"/>
    <w:rsid w:val="64EE7FD0"/>
    <w:rsid w:val="665C1296"/>
    <w:rsid w:val="678E38B3"/>
    <w:rsid w:val="67B6713B"/>
    <w:rsid w:val="67EF24E0"/>
    <w:rsid w:val="69200B40"/>
    <w:rsid w:val="6DED061C"/>
    <w:rsid w:val="733E232D"/>
    <w:rsid w:val="740B2BBE"/>
    <w:rsid w:val="7AE06D3D"/>
    <w:rsid w:val="7DA41F58"/>
    <w:rsid w:val="7DB114E6"/>
    <w:rsid w:val="7FFDA31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ocked="1"/>
    <w:lsdException w:qFormat="1" w:unhideWhenUsed="0" w:uiPriority="0" w:semiHidden="0" w:name="footnote text" w:locked="1"/>
    <w:lsdException w:qFormat="1" w:uiPriority="0" w:semiHidden="0" w:name="annotation text" w:locked="1"/>
    <w:lsdException w:qFormat="1" w:unhideWhenUsed="0" w:uiPriority="0" w:semiHidden="0" w:name="header"/>
    <w:lsdException w:qFormat="1" w:unhideWhenUsed="0" w:uiPriority="99" w:semiHidden="0" w:name="footer"/>
    <w:lsdException w:uiPriority="99" w:name="index heading" w:locked="1"/>
    <w:lsdException w:qFormat="1" w:unhideWhenUsed="0" w:uiPriority="0" w:semiHidden="0" w:name="caption"/>
    <w:lsdException w:qFormat="1" w:unhideWhenUsed="0" w:uiPriority="0" w:semiHidden="0" w:name="table of figures" w:locked="1"/>
    <w:lsdException w:uiPriority="99" w:name="envelope address" w:locked="1"/>
    <w:lsdException w:uiPriority="99" w:name="envelope return" w:locked="1"/>
    <w:lsdException w:qFormat="1" w:unhideWhenUsed="0" w:uiPriority="0" w:semiHidden="0" w:name="footnote reference" w:locked="1"/>
    <w:lsdException w:qFormat="1" w:unhideWhenUsed="0" w:uiPriority="0" w:semiHidden="0"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qFormat="1" w:unhideWhenUsed="0" w:uiPriority="0" w:semiHidden="0" w:name="List 2" w:locked="1"/>
    <w:lsdException w:qFormat="1" w:unhideWhenUsed="0" w:uiPriority="0" w:semiHidden="0" w:name="List 3" w:locked="1"/>
    <w:lsdException w:unhideWhenUsed="0" w:uiPriority="0" w:semiHidden="0" w:name="List 4" w:locked="1"/>
    <w:lsdException w:unhideWhenUsed="0" w:uiPriority="0" w:semiHidden="0" w:name="List 5" w:locked="1"/>
    <w:lsdException w:qFormat="1" w:unhideWhenUsed="0" w:uiPriority="0" w:semiHidden="0" w:name="List Bullet 2" w:locked="1"/>
    <w:lsdException w:qFormat="1" w:unhideWhenUsed="0" w:uiPriority="0" w:semiHidden="0" w:name="List Bullet 3" w:locked="1"/>
    <w:lsdException w:qFormat="1" w:unhideWhenUsed="0" w:uiPriority="0" w:semiHidden="0" w:name="List Bullet 4" w:locked="1"/>
    <w:lsdException w:uiPriority="99" w:name="List Bullet 5" w:locked="1"/>
    <w:lsdException w:qFormat="1" w:unhideWhenUsed="0" w:uiPriority="0" w:semiHidden="0" w:name="List Number 2" w:locked="1"/>
    <w:lsdException w:qFormat="1" w:unhideWhenUsed="0" w:uiPriority="0" w:semiHidden="0"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ocked="1"/>
    <w:lsdException w:qFormat="1" w:unhideWhenUsed="0" w:uiPriority="0" w:semiHidden="0" w:name="List Continue 2" w:locked="1"/>
    <w:lsdException w:unhideWhenUsed="0" w:uiPriority="0" w:semiHidden="0" w:name="List Continue 3" w:locked="1"/>
    <w:lsdException w:qFormat="1" w:unhideWhenUsed="0" w:uiPriority="0" w:semiHidden="0"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ocked="1"/>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qFormat="1" w:unhideWhenUsed="0" w:uiPriority="0" w:semiHidden="0" w:name="Body Text 3" w:locked="1"/>
    <w:lsdException w:qFormat="1" w:unhideWhenUsed="0" w:uiPriority="99" w:semiHidden="0" w:name="Body Text Indent 2"/>
    <w:lsdException w:qFormat="1" w:unhideWhenUsed="0" w:uiPriority="0" w:semiHidden="0" w:name="Body Text Indent 3" w:locked="1"/>
    <w:lsdException w:uiPriority="99" w:name="Block Text" w:locked="1"/>
    <w:lsdException w:qFormat="1" w:unhideWhenUsed="0" w:uiPriority="99" w:semiHidden="0" w:name="Hyperlink"/>
    <w:lsdException w:qFormat="1" w:unhideWhenUsed="0" w:uiPriority="0" w:semiHidden="0" w:name="FollowedHyperlink" w:locked="1"/>
    <w:lsdException w:qFormat="1" w:unhideWhenUsed="0" w:uiPriority="22" w:semiHidden="0" w:name="Strong"/>
    <w:lsdException w:qFormat="1" w:unhideWhenUsed="0" w:uiPriority="0" w:semiHidden="0" w:name="Emphasis"/>
    <w:lsdException w:qFormat="1" w:unhideWhenUsed="0" w:uiPriority="0" w:semiHidden="0" w:name="Document Map" w:locked="1"/>
    <w:lsdException w:qFormat="1" w:unhideWhenUsed="0" w:uiPriority="0" w:semiHidden="0"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5"/>
    <w:qFormat/>
    <w:uiPriority w:val="0"/>
    <w:pPr>
      <w:keepNext/>
      <w:snapToGrid w:val="0"/>
      <w:spacing w:line="360" w:lineRule="atLeast"/>
      <w:outlineLvl w:val="0"/>
    </w:pPr>
    <w:rPr>
      <w:rFonts w:ascii="宋体"/>
      <w:sz w:val="28"/>
      <w:szCs w:val="20"/>
    </w:rPr>
  </w:style>
  <w:style w:type="paragraph" w:styleId="3">
    <w:name w:val="heading 2"/>
    <w:basedOn w:val="1"/>
    <w:next w:val="1"/>
    <w:link w:val="6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8"/>
    <w:qFormat/>
    <w:uiPriority w:val="0"/>
    <w:pPr>
      <w:keepNext/>
      <w:keepLines/>
      <w:spacing w:before="260" w:after="260" w:line="416" w:lineRule="auto"/>
      <w:outlineLvl w:val="2"/>
    </w:pPr>
    <w:rPr>
      <w:b/>
      <w:bCs/>
      <w:sz w:val="32"/>
      <w:szCs w:val="32"/>
    </w:rPr>
  </w:style>
  <w:style w:type="paragraph" w:styleId="5">
    <w:name w:val="heading 4"/>
    <w:basedOn w:val="1"/>
    <w:next w:val="1"/>
    <w:link w:val="76"/>
    <w:qFormat/>
    <w:uiPriority w:val="0"/>
    <w:pPr>
      <w:keepNext/>
      <w:keepLines/>
      <w:spacing w:before="280" w:after="290" w:line="372" w:lineRule="auto"/>
      <w:outlineLvl w:val="3"/>
    </w:pPr>
    <w:rPr>
      <w:rFonts w:ascii="Arial" w:hAnsi="Arial" w:eastAsia="黑体"/>
      <w:b/>
      <w:sz w:val="28"/>
      <w:szCs w:val="20"/>
    </w:rPr>
  </w:style>
  <w:style w:type="paragraph" w:styleId="6">
    <w:name w:val="heading 5"/>
    <w:basedOn w:val="1"/>
    <w:next w:val="1"/>
    <w:link w:val="77"/>
    <w:qFormat/>
    <w:uiPriority w:val="0"/>
    <w:pPr>
      <w:keepNext/>
      <w:keepLines/>
      <w:tabs>
        <w:tab w:val="left" w:pos="2551"/>
      </w:tabs>
      <w:spacing w:before="280" w:after="290" w:line="372" w:lineRule="auto"/>
      <w:ind w:left="2551" w:hanging="850"/>
      <w:outlineLvl w:val="4"/>
    </w:pPr>
    <w:rPr>
      <w:b/>
      <w:sz w:val="28"/>
      <w:szCs w:val="20"/>
    </w:rPr>
  </w:style>
  <w:style w:type="paragraph" w:styleId="7">
    <w:name w:val="heading 6"/>
    <w:basedOn w:val="1"/>
    <w:next w:val="1"/>
    <w:link w:val="78"/>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szCs w:val="20"/>
    </w:rPr>
  </w:style>
  <w:style w:type="paragraph" w:styleId="8">
    <w:name w:val="heading 7"/>
    <w:basedOn w:val="1"/>
    <w:next w:val="1"/>
    <w:link w:val="79"/>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szCs w:val="20"/>
    </w:rPr>
  </w:style>
  <w:style w:type="paragraph" w:styleId="9">
    <w:name w:val="heading 8"/>
    <w:basedOn w:val="1"/>
    <w:next w:val="1"/>
    <w:link w:val="80"/>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szCs w:val="20"/>
    </w:rPr>
  </w:style>
  <w:style w:type="paragraph" w:styleId="10">
    <w:name w:val="heading 9"/>
    <w:basedOn w:val="1"/>
    <w:next w:val="1"/>
    <w:link w:val="8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szCs w:val="20"/>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locked/>
    <w:uiPriority w:val="0"/>
    <w:pPr>
      <w:adjustRightInd w:val="0"/>
      <w:snapToGrid w:val="0"/>
      <w:spacing w:line="360" w:lineRule="auto"/>
      <w:ind w:left="100" w:leftChars="400" w:hanging="200" w:hangingChars="200"/>
    </w:pPr>
    <w:rPr>
      <w:sz w:val="24"/>
      <w:szCs w:val="20"/>
    </w:rPr>
  </w:style>
  <w:style w:type="paragraph" w:styleId="12">
    <w:name w:val="toc 7"/>
    <w:basedOn w:val="1"/>
    <w:next w:val="1"/>
    <w:qFormat/>
    <w:uiPriority w:val="0"/>
    <w:pPr>
      <w:ind w:left="2520" w:leftChars="1200"/>
    </w:pPr>
    <w:rPr>
      <w:sz w:val="28"/>
      <w:szCs w:val="20"/>
    </w:rPr>
  </w:style>
  <w:style w:type="paragraph" w:styleId="13">
    <w:name w:val="List Number 2"/>
    <w:basedOn w:val="1"/>
    <w:qFormat/>
    <w:locked/>
    <w:uiPriority w:val="0"/>
    <w:pPr>
      <w:tabs>
        <w:tab w:val="left" w:pos="780"/>
      </w:tabs>
      <w:spacing w:line="360" w:lineRule="auto"/>
      <w:ind w:left="425" w:hanging="425"/>
    </w:pPr>
    <w:rPr>
      <w:sz w:val="24"/>
      <w:szCs w:val="20"/>
    </w:rPr>
  </w:style>
  <w:style w:type="paragraph" w:styleId="14">
    <w:name w:val="List Bullet 4"/>
    <w:basedOn w:val="1"/>
    <w:qFormat/>
    <w:locked/>
    <w:uiPriority w:val="0"/>
    <w:pPr>
      <w:widowControl/>
      <w:tabs>
        <w:tab w:val="left" w:pos="1134"/>
      </w:tabs>
      <w:adjustRightInd w:val="0"/>
      <w:snapToGrid w:val="0"/>
      <w:spacing w:before="120" w:line="280" w:lineRule="atLeast"/>
      <w:ind w:left="1418" w:hanging="284"/>
      <w:jc w:val="left"/>
    </w:pPr>
    <w:rPr>
      <w:rFonts w:ascii="宋体"/>
      <w:kern w:val="0"/>
      <w:sz w:val="22"/>
      <w:szCs w:val="20"/>
    </w:rPr>
  </w:style>
  <w:style w:type="paragraph" w:styleId="15">
    <w:name w:val="Normal Indent"/>
    <w:basedOn w:val="1"/>
    <w:qFormat/>
    <w:locked/>
    <w:uiPriority w:val="0"/>
    <w:pPr>
      <w:adjustRightInd w:val="0"/>
      <w:snapToGrid w:val="0"/>
      <w:spacing w:line="360" w:lineRule="auto"/>
      <w:ind w:firstLine="420"/>
    </w:pPr>
    <w:rPr>
      <w:sz w:val="24"/>
      <w:szCs w:val="20"/>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szCs w:val="20"/>
      <w:lang w:eastAsia="zh-TW"/>
    </w:rPr>
  </w:style>
  <w:style w:type="paragraph" w:styleId="17">
    <w:name w:val="Document Map"/>
    <w:basedOn w:val="1"/>
    <w:link w:val="177"/>
    <w:qFormat/>
    <w:locked/>
    <w:uiPriority w:val="0"/>
    <w:pPr>
      <w:shd w:val="clear" w:color="auto" w:fill="000080"/>
    </w:pPr>
    <w:rPr>
      <w:sz w:val="28"/>
      <w:szCs w:val="20"/>
    </w:rPr>
  </w:style>
  <w:style w:type="paragraph" w:styleId="18">
    <w:name w:val="toa heading"/>
    <w:basedOn w:val="1"/>
    <w:next w:val="1"/>
    <w:qFormat/>
    <w:locked/>
    <w:uiPriority w:val="0"/>
    <w:pPr>
      <w:spacing w:before="120"/>
    </w:pPr>
    <w:rPr>
      <w:rFonts w:ascii="Arial" w:hAnsi="Arial"/>
      <w:sz w:val="24"/>
      <w:szCs w:val="20"/>
    </w:rPr>
  </w:style>
  <w:style w:type="paragraph" w:styleId="19">
    <w:name w:val="annotation text"/>
    <w:basedOn w:val="1"/>
    <w:link w:val="167"/>
    <w:unhideWhenUsed/>
    <w:qFormat/>
    <w:locked/>
    <w:uiPriority w:val="0"/>
    <w:pPr>
      <w:jc w:val="left"/>
    </w:pPr>
  </w:style>
  <w:style w:type="paragraph" w:styleId="20">
    <w:name w:val="Body Text 3"/>
    <w:basedOn w:val="1"/>
    <w:link w:val="156"/>
    <w:qFormat/>
    <w:locked/>
    <w:uiPriority w:val="0"/>
    <w:pPr>
      <w:adjustRightInd w:val="0"/>
      <w:snapToGrid w:val="0"/>
      <w:spacing w:after="120" w:line="360" w:lineRule="auto"/>
    </w:pPr>
    <w:rPr>
      <w:sz w:val="16"/>
      <w:szCs w:val="20"/>
    </w:rPr>
  </w:style>
  <w:style w:type="paragraph" w:styleId="21">
    <w:name w:val="List Bullet 3"/>
    <w:basedOn w:val="1"/>
    <w:qFormat/>
    <w:locked/>
    <w:uiPriority w:val="0"/>
    <w:pPr>
      <w:tabs>
        <w:tab w:val="left" w:pos="1200"/>
      </w:tabs>
      <w:adjustRightInd w:val="0"/>
      <w:snapToGrid w:val="0"/>
      <w:spacing w:line="360" w:lineRule="auto"/>
      <w:ind w:left="1200" w:hanging="360"/>
    </w:pPr>
    <w:rPr>
      <w:sz w:val="24"/>
      <w:szCs w:val="20"/>
    </w:rPr>
  </w:style>
  <w:style w:type="paragraph" w:styleId="22">
    <w:name w:val="Body Text"/>
    <w:basedOn w:val="1"/>
    <w:link w:val="69"/>
    <w:qFormat/>
    <w:uiPriority w:val="0"/>
    <w:rPr>
      <w:sz w:val="32"/>
    </w:rPr>
  </w:style>
  <w:style w:type="paragraph" w:styleId="23">
    <w:name w:val="Body Text Indent"/>
    <w:basedOn w:val="1"/>
    <w:link w:val="70"/>
    <w:qFormat/>
    <w:uiPriority w:val="0"/>
    <w:pPr>
      <w:spacing w:after="120"/>
      <w:ind w:left="420" w:leftChars="200"/>
    </w:pPr>
  </w:style>
  <w:style w:type="paragraph" w:styleId="24">
    <w:name w:val="List Number 3"/>
    <w:basedOn w:val="1"/>
    <w:qFormat/>
    <w:locked/>
    <w:uiPriority w:val="0"/>
    <w:pPr>
      <w:tabs>
        <w:tab w:val="left" w:pos="2120"/>
      </w:tabs>
      <w:adjustRightInd w:val="0"/>
      <w:snapToGrid w:val="0"/>
      <w:spacing w:line="360" w:lineRule="auto"/>
      <w:ind w:left="2120" w:hanging="720"/>
    </w:pPr>
    <w:rPr>
      <w:sz w:val="24"/>
      <w:szCs w:val="20"/>
    </w:rPr>
  </w:style>
  <w:style w:type="paragraph" w:styleId="25">
    <w:name w:val="List 2"/>
    <w:basedOn w:val="1"/>
    <w:qFormat/>
    <w:locked/>
    <w:uiPriority w:val="0"/>
    <w:pPr>
      <w:adjustRightInd w:val="0"/>
      <w:snapToGrid w:val="0"/>
      <w:spacing w:line="360" w:lineRule="auto"/>
      <w:ind w:left="100" w:leftChars="200" w:hanging="200" w:hangingChars="200"/>
    </w:pPr>
    <w:rPr>
      <w:sz w:val="24"/>
      <w:szCs w:val="20"/>
    </w:rPr>
  </w:style>
  <w:style w:type="paragraph" w:styleId="26">
    <w:name w:val="List Continue"/>
    <w:basedOn w:val="1"/>
    <w:qFormat/>
    <w:locked/>
    <w:uiPriority w:val="0"/>
    <w:pPr>
      <w:adjustRightInd w:val="0"/>
      <w:snapToGrid w:val="0"/>
      <w:spacing w:after="120" w:line="360" w:lineRule="auto"/>
      <w:ind w:left="420" w:leftChars="200"/>
    </w:pPr>
    <w:rPr>
      <w:sz w:val="24"/>
      <w:szCs w:val="20"/>
    </w:rPr>
  </w:style>
  <w:style w:type="paragraph" w:styleId="27">
    <w:name w:val="List Bullet 2"/>
    <w:basedOn w:val="1"/>
    <w:qFormat/>
    <w:locked/>
    <w:uiPriority w:val="0"/>
    <w:pPr>
      <w:tabs>
        <w:tab w:val="left" w:pos="780"/>
      </w:tabs>
      <w:adjustRightInd w:val="0"/>
      <w:snapToGrid w:val="0"/>
      <w:spacing w:line="360" w:lineRule="auto"/>
      <w:ind w:left="780" w:hanging="360"/>
    </w:pPr>
    <w:rPr>
      <w:sz w:val="24"/>
      <w:szCs w:val="20"/>
    </w:rPr>
  </w:style>
  <w:style w:type="paragraph" w:styleId="28">
    <w:name w:val="toc 5"/>
    <w:basedOn w:val="1"/>
    <w:next w:val="1"/>
    <w:qFormat/>
    <w:uiPriority w:val="0"/>
    <w:pPr>
      <w:ind w:left="1680" w:leftChars="800"/>
    </w:pPr>
    <w:rPr>
      <w:sz w:val="28"/>
      <w:szCs w:val="20"/>
    </w:rPr>
  </w:style>
  <w:style w:type="paragraph" w:styleId="29">
    <w:name w:val="toc 3"/>
    <w:basedOn w:val="1"/>
    <w:next w:val="1"/>
    <w:qFormat/>
    <w:uiPriority w:val="39"/>
    <w:pPr>
      <w:ind w:left="400" w:leftChars="400"/>
    </w:pPr>
  </w:style>
  <w:style w:type="paragraph" w:styleId="30">
    <w:name w:val="Plain Text"/>
    <w:basedOn w:val="1"/>
    <w:link w:val="126"/>
    <w:qFormat/>
    <w:locked/>
    <w:uiPriority w:val="0"/>
    <w:rPr>
      <w:rFonts w:ascii="宋体" w:hAnsi="Courier New"/>
      <w:szCs w:val="20"/>
    </w:rPr>
  </w:style>
  <w:style w:type="paragraph" w:styleId="31">
    <w:name w:val="toc 8"/>
    <w:basedOn w:val="1"/>
    <w:next w:val="1"/>
    <w:qFormat/>
    <w:uiPriority w:val="0"/>
    <w:pPr>
      <w:ind w:left="2940" w:leftChars="1400"/>
    </w:pPr>
    <w:rPr>
      <w:sz w:val="28"/>
      <w:szCs w:val="20"/>
    </w:rPr>
  </w:style>
  <w:style w:type="paragraph" w:styleId="32">
    <w:name w:val="Date"/>
    <w:basedOn w:val="1"/>
    <w:next w:val="1"/>
    <w:link w:val="162"/>
    <w:qFormat/>
    <w:locked/>
    <w:uiPriority w:val="0"/>
    <w:rPr>
      <w:sz w:val="28"/>
      <w:szCs w:val="20"/>
    </w:rPr>
  </w:style>
  <w:style w:type="paragraph" w:styleId="33">
    <w:name w:val="Body Text Indent 2"/>
    <w:basedOn w:val="1"/>
    <w:link w:val="71"/>
    <w:qFormat/>
    <w:uiPriority w:val="99"/>
    <w:pPr>
      <w:spacing w:line="480" w:lineRule="auto"/>
      <w:ind w:firstLine="720" w:firstLineChars="200"/>
    </w:pPr>
    <w:rPr>
      <w:rFonts w:ascii="??_GB2312" w:eastAsia="Times New Roman"/>
      <w:spacing w:val="20"/>
      <w:sz w:val="32"/>
    </w:rPr>
  </w:style>
  <w:style w:type="paragraph" w:styleId="34">
    <w:name w:val="Balloon Text"/>
    <w:basedOn w:val="1"/>
    <w:link w:val="72"/>
    <w:qFormat/>
    <w:uiPriority w:val="0"/>
    <w:rPr>
      <w:sz w:val="18"/>
      <w:szCs w:val="18"/>
    </w:rPr>
  </w:style>
  <w:style w:type="paragraph" w:styleId="35">
    <w:name w:val="footer"/>
    <w:basedOn w:val="1"/>
    <w:link w:val="73"/>
    <w:qFormat/>
    <w:uiPriority w:val="99"/>
    <w:pPr>
      <w:tabs>
        <w:tab w:val="center" w:pos="4153"/>
        <w:tab w:val="right" w:pos="8306"/>
      </w:tabs>
      <w:snapToGrid w:val="0"/>
      <w:jc w:val="left"/>
    </w:pPr>
    <w:rPr>
      <w:sz w:val="18"/>
      <w:szCs w:val="18"/>
    </w:rPr>
  </w:style>
  <w:style w:type="paragraph" w:styleId="36">
    <w:name w:val="header"/>
    <w:basedOn w:val="1"/>
    <w:link w:val="74"/>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0"/>
    <w:pPr>
      <w:spacing w:line="180" w:lineRule="auto"/>
      <w:jc w:val="center"/>
    </w:pPr>
    <w:rPr>
      <w:sz w:val="30"/>
      <w:szCs w:val="20"/>
    </w:rPr>
  </w:style>
  <w:style w:type="paragraph" w:styleId="38">
    <w:name w:val="List Continue 4"/>
    <w:basedOn w:val="1"/>
    <w:qFormat/>
    <w:locked/>
    <w:uiPriority w:val="0"/>
    <w:pPr>
      <w:adjustRightInd w:val="0"/>
      <w:snapToGrid w:val="0"/>
      <w:spacing w:after="120" w:line="360" w:lineRule="auto"/>
      <w:ind w:left="1680" w:leftChars="800"/>
    </w:pPr>
    <w:rPr>
      <w:sz w:val="24"/>
      <w:szCs w:val="20"/>
    </w:rPr>
  </w:style>
  <w:style w:type="paragraph" w:styleId="39">
    <w:name w:val="toc 4"/>
    <w:basedOn w:val="1"/>
    <w:next w:val="1"/>
    <w:uiPriority w:val="0"/>
    <w:pPr>
      <w:ind w:left="1260" w:leftChars="600"/>
    </w:pPr>
    <w:rPr>
      <w:sz w:val="28"/>
      <w:szCs w:val="20"/>
    </w:rPr>
  </w:style>
  <w:style w:type="paragraph" w:styleId="40">
    <w:name w:val="footnote text"/>
    <w:basedOn w:val="1"/>
    <w:link w:val="152"/>
    <w:qFormat/>
    <w:locked/>
    <w:uiPriority w:val="0"/>
    <w:pPr>
      <w:spacing w:line="360" w:lineRule="auto"/>
    </w:pPr>
    <w:rPr>
      <w:sz w:val="18"/>
      <w:szCs w:val="20"/>
    </w:rPr>
  </w:style>
  <w:style w:type="paragraph" w:styleId="41">
    <w:name w:val="toc 6"/>
    <w:basedOn w:val="1"/>
    <w:next w:val="1"/>
    <w:qFormat/>
    <w:uiPriority w:val="0"/>
    <w:pPr>
      <w:ind w:left="2100" w:leftChars="1000"/>
    </w:pPr>
    <w:rPr>
      <w:sz w:val="28"/>
      <w:szCs w:val="20"/>
    </w:rPr>
  </w:style>
  <w:style w:type="paragraph" w:styleId="42">
    <w:name w:val="List 5"/>
    <w:basedOn w:val="1"/>
    <w:locked/>
    <w:uiPriority w:val="0"/>
    <w:pPr>
      <w:adjustRightInd w:val="0"/>
      <w:snapToGrid w:val="0"/>
      <w:spacing w:line="360" w:lineRule="auto"/>
      <w:ind w:left="100" w:leftChars="800" w:hanging="200" w:hangingChars="200"/>
    </w:pPr>
    <w:rPr>
      <w:sz w:val="24"/>
      <w:szCs w:val="20"/>
    </w:rPr>
  </w:style>
  <w:style w:type="paragraph" w:styleId="43">
    <w:name w:val="Body Text Indent 3"/>
    <w:basedOn w:val="1"/>
    <w:link w:val="171"/>
    <w:qFormat/>
    <w:locked/>
    <w:uiPriority w:val="0"/>
    <w:pPr>
      <w:spacing w:line="360" w:lineRule="auto"/>
      <w:ind w:firstLine="632"/>
    </w:pPr>
    <w:rPr>
      <w:rFonts w:ascii="黑体" w:eastAsia="黑体"/>
      <w:sz w:val="28"/>
      <w:szCs w:val="20"/>
    </w:rPr>
  </w:style>
  <w:style w:type="paragraph" w:styleId="44">
    <w:name w:val="table of figures"/>
    <w:basedOn w:val="1"/>
    <w:next w:val="1"/>
    <w:qFormat/>
    <w:locked/>
    <w:uiPriority w:val="0"/>
    <w:pPr>
      <w:tabs>
        <w:tab w:val="right" w:leader="dot" w:pos="8640"/>
      </w:tabs>
      <w:spacing w:line="360" w:lineRule="auto"/>
      <w:ind w:left="400" w:hanging="400"/>
    </w:pPr>
    <w:rPr>
      <w:sz w:val="24"/>
      <w:szCs w:val="20"/>
    </w:rPr>
  </w:style>
  <w:style w:type="paragraph" w:styleId="45">
    <w:name w:val="toc 2"/>
    <w:basedOn w:val="1"/>
    <w:next w:val="1"/>
    <w:qFormat/>
    <w:uiPriority w:val="39"/>
    <w:pPr>
      <w:ind w:left="200" w:leftChars="200"/>
    </w:pPr>
  </w:style>
  <w:style w:type="paragraph" w:styleId="46">
    <w:name w:val="toc 9"/>
    <w:basedOn w:val="1"/>
    <w:next w:val="1"/>
    <w:qFormat/>
    <w:uiPriority w:val="0"/>
    <w:pPr>
      <w:ind w:left="3360" w:leftChars="1600"/>
    </w:pPr>
    <w:rPr>
      <w:sz w:val="28"/>
      <w:szCs w:val="20"/>
    </w:rPr>
  </w:style>
  <w:style w:type="paragraph" w:styleId="47">
    <w:name w:val="Body Text 2"/>
    <w:basedOn w:val="1"/>
    <w:link w:val="201"/>
    <w:qFormat/>
    <w:locked/>
    <w:uiPriority w:val="0"/>
    <w:pPr>
      <w:adjustRightInd w:val="0"/>
      <w:snapToGrid w:val="0"/>
      <w:spacing w:after="120" w:line="480" w:lineRule="auto"/>
    </w:pPr>
    <w:rPr>
      <w:sz w:val="24"/>
      <w:szCs w:val="20"/>
    </w:rPr>
  </w:style>
  <w:style w:type="paragraph" w:styleId="48">
    <w:name w:val="List 4"/>
    <w:basedOn w:val="1"/>
    <w:locked/>
    <w:uiPriority w:val="0"/>
    <w:pPr>
      <w:adjustRightInd w:val="0"/>
      <w:snapToGrid w:val="0"/>
      <w:spacing w:line="360" w:lineRule="auto"/>
      <w:ind w:left="100" w:leftChars="600" w:hanging="200" w:hangingChars="200"/>
    </w:pPr>
    <w:rPr>
      <w:sz w:val="24"/>
      <w:szCs w:val="20"/>
    </w:rPr>
  </w:style>
  <w:style w:type="paragraph" w:styleId="49">
    <w:name w:val="List Continue 2"/>
    <w:basedOn w:val="1"/>
    <w:qFormat/>
    <w:locked/>
    <w:uiPriority w:val="0"/>
    <w:pPr>
      <w:adjustRightInd w:val="0"/>
      <w:snapToGrid w:val="0"/>
      <w:spacing w:after="120" w:line="360" w:lineRule="auto"/>
      <w:ind w:left="840" w:leftChars="400"/>
    </w:pPr>
    <w:rPr>
      <w:sz w:val="24"/>
      <w:szCs w:val="20"/>
    </w:rPr>
  </w:style>
  <w:style w:type="paragraph" w:styleId="50">
    <w:name w:val="Normal (Web)"/>
    <w:basedOn w:val="1"/>
    <w:qFormat/>
    <w:uiPriority w:val="0"/>
    <w:pPr>
      <w:spacing w:before="100" w:beforeAutospacing="1" w:after="100" w:afterAutospacing="1"/>
      <w:jc w:val="left"/>
    </w:pPr>
    <w:rPr>
      <w:kern w:val="0"/>
      <w:sz w:val="24"/>
    </w:rPr>
  </w:style>
  <w:style w:type="paragraph" w:styleId="51">
    <w:name w:val="List Continue 3"/>
    <w:basedOn w:val="1"/>
    <w:locked/>
    <w:uiPriority w:val="0"/>
    <w:pPr>
      <w:adjustRightInd w:val="0"/>
      <w:snapToGrid w:val="0"/>
      <w:spacing w:after="120" w:line="360" w:lineRule="auto"/>
      <w:ind w:left="1260" w:leftChars="600"/>
    </w:pPr>
    <w:rPr>
      <w:sz w:val="24"/>
      <w:szCs w:val="20"/>
    </w:rPr>
  </w:style>
  <w:style w:type="paragraph" w:styleId="52">
    <w:name w:val="index 1"/>
    <w:basedOn w:val="1"/>
    <w:next w:val="1"/>
    <w:qFormat/>
    <w:locked/>
    <w:uiPriority w:val="0"/>
    <w:pPr>
      <w:adjustRightInd w:val="0"/>
      <w:spacing w:line="240" w:lineRule="atLeast"/>
      <w:textAlignment w:val="baseline"/>
    </w:pPr>
    <w:rPr>
      <w:rFonts w:ascii="宋体"/>
      <w:kern w:val="0"/>
      <w:szCs w:val="20"/>
    </w:rPr>
  </w:style>
  <w:style w:type="paragraph" w:styleId="53">
    <w:name w:val="Title"/>
    <w:basedOn w:val="1"/>
    <w:link w:val="119"/>
    <w:qFormat/>
    <w:uiPriority w:val="0"/>
    <w:pPr>
      <w:widowControl/>
      <w:spacing w:after="240" w:line="360" w:lineRule="auto"/>
      <w:jc w:val="center"/>
    </w:pPr>
    <w:rPr>
      <w:rFonts w:ascii="Arial" w:hAnsi="Arial"/>
      <w:b/>
      <w:smallCaps/>
      <w:kern w:val="28"/>
      <w:sz w:val="36"/>
      <w:szCs w:val="20"/>
      <w:lang w:eastAsia="en-US"/>
    </w:rPr>
  </w:style>
  <w:style w:type="paragraph" w:styleId="54">
    <w:name w:val="annotation subject"/>
    <w:basedOn w:val="19"/>
    <w:next w:val="19"/>
    <w:link w:val="168"/>
    <w:qFormat/>
    <w:locked/>
    <w:uiPriority w:val="0"/>
    <w:rPr>
      <w:kern w:val="0"/>
      <w:sz w:val="24"/>
      <w:szCs w:val="20"/>
    </w:rPr>
  </w:style>
  <w:style w:type="paragraph" w:styleId="55">
    <w:name w:val="Body Text First Indent"/>
    <w:basedOn w:val="1"/>
    <w:link w:val="200"/>
    <w:qFormat/>
    <w:locked/>
    <w:uiPriority w:val="0"/>
    <w:pPr>
      <w:spacing w:line="360" w:lineRule="auto"/>
      <w:ind w:firstLine="420"/>
    </w:pPr>
    <w:rPr>
      <w:rFonts w:ascii="宋体" w:hAnsi="宋体"/>
      <w:sz w:val="24"/>
      <w:szCs w:val="20"/>
    </w:rPr>
  </w:style>
  <w:style w:type="paragraph" w:styleId="56">
    <w:name w:val="Body Text First Indent 2"/>
    <w:basedOn w:val="23"/>
    <w:link w:val="134"/>
    <w:qFormat/>
    <w:locked/>
    <w:uiPriority w:val="0"/>
    <w:pPr>
      <w:ind w:firstLine="420" w:firstLineChars="200"/>
    </w:pPr>
    <w:rPr>
      <w:sz w:val="44"/>
      <w:szCs w:val="20"/>
    </w:rPr>
  </w:style>
  <w:style w:type="table" w:styleId="58">
    <w:name w:val="Table Grid"/>
    <w:basedOn w:val="5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basedOn w:val="59"/>
    <w:qFormat/>
    <w:uiPriority w:val="0"/>
    <w:rPr>
      <w:rFonts w:cs="Times New Roman"/>
    </w:rPr>
  </w:style>
  <w:style w:type="character" w:styleId="62">
    <w:name w:val="FollowedHyperlink"/>
    <w:qFormat/>
    <w:locked/>
    <w:uiPriority w:val="0"/>
    <w:rPr>
      <w:color w:val="800080"/>
      <w:u w:val="single"/>
    </w:rPr>
  </w:style>
  <w:style w:type="character" w:styleId="63">
    <w:name w:val="Emphasis"/>
    <w:qFormat/>
    <w:uiPriority w:val="0"/>
    <w:rPr>
      <w:i/>
    </w:rPr>
  </w:style>
  <w:style w:type="character" w:styleId="64">
    <w:name w:val="Hyperlink"/>
    <w:basedOn w:val="59"/>
    <w:qFormat/>
    <w:uiPriority w:val="99"/>
    <w:rPr>
      <w:rFonts w:cs="Times New Roman"/>
      <w:color w:val="0000FF"/>
      <w:u w:val="single"/>
    </w:rPr>
  </w:style>
  <w:style w:type="character" w:styleId="65">
    <w:name w:val="annotation reference"/>
    <w:qFormat/>
    <w:locked/>
    <w:uiPriority w:val="0"/>
    <w:rPr>
      <w:sz w:val="21"/>
      <w:szCs w:val="21"/>
    </w:rPr>
  </w:style>
  <w:style w:type="character" w:styleId="66">
    <w:name w:val="footnote reference"/>
    <w:qFormat/>
    <w:locked/>
    <w:uiPriority w:val="0"/>
    <w:rPr>
      <w:position w:val="6"/>
      <w:sz w:val="14"/>
      <w:vertAlign w:val="superscript"/>
    </w:rPr>
  </w:style>
  <w:style w:type="character" w:customStyle="1" w:styleId="67">
    <w:name w:val="标题 2 Char"/>
    <w:basedOn w:val="59"/>
    <w:link w:val="3"/>
    <w:qFormat/>
    <w:locked/>
    <w:uiPriority w:val="0"/>
    <w:rPr>
      <w:rFonts w:ascii="Cambria" w:hAnsi="Cambria" w:eastAsia="宋体" w:cs="Times New Roman"/>
      <w:b/>
      <w:bCs/>
      <w:sz w:val="32"/>
      <w:szCs w:val="32"/>
    </w:rPr>
  </w:style>
  <w:style w:type="character" w:customStyle="1" w:styleId="68">
    <w:name w:val="标题 3 Char"/>
    <w:basedOn w:val="59"/>
    <w:link w:val="4"/>
    <w:qFormat/>
    <w:locked/>
    <w:uiPriority w:val="0"/>
    <w:rPr>
      <w:rFonts w:cs="Times New Roman"/>
      <w:b/>
      <w:bCs/>
      <w:sz w:val="32"/>
      <w:szCs w:val="32"/>
    </w:rPr>
  </w:style>
  <w:style w:type="character" w:customStyle="1" w:styleId="69">
    <w:name w:val="正文文本 Char"/>
    <w:basedOn w:val="59"/>
    <w:link w:val="22"/>
    <w:semiHidden/>
    <w:qFormat/>
    <w:locked/>
    <w:uiPriority w:val="99"/>
    <w:rPr>
      <w:rFonts w:cs="Times New Roman"/>
      <w:sz w:val="24"/>
      <w:szCs w:val="24"/>
    </w:rPr>
  </w:style>
  <w:style w:type="character" w:customStyle="1" w:styleId="70">
    <w:name w:val="正文文本缩进 Char"/>
    <w:basedOn w:val="59"/>
    <w:link w:val="23"/>
    <w:qFormat/>
    <w:locked/>
    <w:uiPriority w:val="0"/>
    <w:rPr>
      <w:rFonts w:cs="Times New Roman"/>
      <w:sz w:val="24"/>
      <w:szCs w:val="24"/>
    </w:rPr>
  </w:style>
  <w:style w:type="character" w:customStyle="1" w:styleId="71">
    <w:name w:val="正文文本缩进 2 Char"/>
    <w:basedOn w:val="59"/>
    <w:link w:val="33"/>
    <w:qFormat/>
    <w:locked/>
    <w:uiPriority w:val="99"/>
    <w:rPr>
      <w:rFonts w:cs="Times New Roman"/>
      <w:sz w:val="24"/>
      <w:szCs w:val="24"/>
    </w:rPr>
  </w:style>
  <w:style w:type="character" w:customStyle="1" w:styleId="72">
    <w:name w:val="批注框文本 Char"/>
    <w:basedOn w:val="59"/>
    <w:link w:val="34"/>
    <w:semiHidden/>
    <w:qFormat/>
    <w:locked/>
    <w:uiPriority w:val="99"/>
    <w:rPr>
      <w:rFonts w:cs="Times New Roman"/>
      <w:sz w:val="2"/>
    </w:rPr>
  </w:style>
  <w:style w:type="character" w:customStyle="1" w:styleId="73">
    <w:name w:val="页脚 Char"/>
    <w:basedOn w:val="59"/>
    <w:link w:val="35"/>
    <w:qFormat/>
    <w:locked/>
    <w:uiPriority w:val="99"/>
    <w:rPr>
      <w:rFonts w:cs="Times New Roman"/>
      <w:sz w:val="18"/>
      <w:szCs w:val="18"/>
    </w:rPr>
  </w:style>
  <w:style w:type="character" w:customStyle="1" w:styleId="74">
    <w:name w:val="页眉 Char"/>
    <w:basedOn w:val="59"/>
    <w:link w:val="36"/>
    <w:qFormat/>
    <w:locked/>
    <w:uiPriority w:val="99"/>
    <w:rPr>
      <w:rFonts w:cs="Times New Roman"/>
      <w:kern w:val="2"/>
      <w:sz w:val="18"/>
      <w:szCs w:val="18"/>
    </w:rPr>
  </w:style>
  <w:style w:type="character" w:customStyle="1" w:styleId="75">
    <w:name w:val="标题 1 Char"/>
    <w:basedOn w:val="59"/>
    <w:link w:val="2"/>
    <w:qFormat/>
    <w:uiPriority w:val="0"/>
    <w:rPr>
      <w:rFonts w:ascii="宋体"/>
      <w:kern w:val="2"/>
      <w:sz w:val="28"/>
    </w:rPr>
  </w:style>
  <w:style w:type="character" w:customStyle="1" w:styleId="76">
    <w:name w:val="标题 4 Char"/>
    <w:basedOn w:val="59"/>
    <w:link w:val="5"/>
    <w:qFormat/>
    <w:uiPriority w:val="0"/>
    <w:rPr>
      <w:rFonts w:ascii="Arial" w:hAnsi="Arial" w:eastAsia="黑体"/>
      <w:b/>
      <w:kern w:val="2"/>
      <w:sz w:val="28"/>
    </w:rPr>
  </w:style>
  <w:style w:type="character" w:customStyle="1" w:styleId="77">
    <w:name w:val="标题 5 Char"/>
    <w:basedOn w:val="59"/>
    <w:link w:val="6"/>
    <w:qFormat/>
    <w:uiPriority w:val="0"/>
    <w:rPr>
      <w:b/>
      <w:kern w:val="2"/>
      <w:sz w:val="28"/>
    </w:rPr>
  </w:style>
  <w:style w:type="character" w:customStyle="1" w:styleId="78">
    <w:name w:val="标题 6 Char"/>
    <w:basedOn w:val="59"/>
    <w:link w:val="7"/>
    <w:qFormat/>
    <w:uiPriority w:val="0"/>
    <w:rPr>
      <w:rFonts w:ascii="Arial" w:hAnsi="Arial" w:eastAsia="黑体"/>
      <w:b/>
      <w:kern w:val="2"/>
      <w:sz w:val="24"/>
    </w:rPr>
  </w:style>
  <w:style w:type="character" w:customStyle="1" w:styleId="79">
    <w:name w:val="标题 7 Char"/>
    <w:basedOn w:val="59"/>
    <w:link w:val="8"/>
    <w:qFormat/>
    <w:uiPriority w:val="0"/>
    <w:rPr>
      <w:rFonts w:ascii="Arial" w:hAnsi="Arial" w:eastAsia="黑体"/>
      <w:b/>
      <w:kern w:val="2"/>
      <w:sz w:val="24"/>
    </w:rPr>
  </w:style>
  <w:style w:type="character" w:customStyle="1" w:styleId="80">
    <w:name w:val="标题 8 Char"/>
    <w:basedOn w:val="59"/>
    <w:link w:val="9"/>
    <w:qFormat/>
    <w:uiPriority w:val="0"/>
    <w:rPr>
      <w:rFonts w:ascii="Arial" w:hAnsi="Arial" w:eastAsia="黑体"/>
      <w:b/>
      <w:kern w:val="2"/>
      <w:sz w:val="24"/>
    </w:rPr>
  </w:style>
  <w:style w:type="character" w:customStyle="1" w:styleId="81">
    <w:name w:val="标题 9 Char"/>
    <w:basedOn w:val="59"/>
    <w:link w:val="10"/>
    <w:qFormat/>
    <w:uiPriority w:val="0"/>
    <w:rPr>
      <w:rFonts w:ascii="Arial" w:hAnsi="Arial" w:eastAsia="黑体"/>
      <w:b/>
      <w:kern w:val="2"/>
      <w:sz w:val="24"/>
    </w:rPr>
  </w:style>
  <w:style w:type="character" w:customStyle="1" w:styleId="82">
    <w:name w:val="批注文字 Char"/>
    <w:qFormat/>
    <w:uiPriority w:val="0"/>
    <w:rPr>
      <w:sz w:val="24"/>
    </w:rPr>
  </w:style>
  <w:style w:type="character" w:customStyle="1" w:styleId="83">
    <w:name w:val="Char Char7"/>
    <w:qFormat/>
    <w:uiPriority w:val="0"/>
    <w:rPr>
      <w:rFonts w:ascii="宋体" w:hAnsi="宋体" w:eastAsia="宋体"/>
      <w:kern w:val="2"/>
      <w:sz w:val="28"/>
    </w:rPr>
  </w:style>
  <w:style w:type="character" w:customStyle="1" w:styleId="84">
    <w:name w:val="Char Char5"/>
    <w:qFormat/>
    <w:uiPriority w:val="0"/>
    <w:rPr>
      <w:rFonts w:ascii="Arial" w:hAnsi="Arial" w:eastAsia="宋体"/>
      <w:b/>
      <w:smallCaps/>
      <w:kern w:val="28"/>
      <w:sz w:val="36"/>
      <w:lang w:val="en-US" w:eastAsia="en-US"/>
    </w:rPr>
  </w:style>
  <w:style w:type="character" w:customStyle="1" w:styleId="85">
    <w:name w:val="Char Char3"/>
    <w:qFormat/>
    <w:uiPriority w:val="0"/>
    <w:rPr>
      <w:rFonts w:eastAsia="宋体"/>
      <w:kern w:val="2"/>
      <w:sz w:val="18"/>
      <w:lang w:val="en-US" w:eastAsia="zh-CN"/>
    </w:rPr>
  </w:style>
  <w:style w:type="character" w:customStyle="1" w:styleId="86">
    <w:name w:val="未命名11"/>
    <w:qFormat/>
    <w:uiPriority w:val="0"/>
    <w:rPr>
      <w:color w:val="77FFFF"/>
      <w:sz w:val="24"/>
    </w:rPr>
  </w:style>
  <w:style w:type="character" w:customStyle="1" w:styleId="87">
    <w:name w:val="批注主题 Char"/>
    <w:basedOn w:val="82"/>
    <w:qFormat/>
    <w:uiPriority w:val="0"/>
    <w:rPr>
      <w:sz w:val="24"/>
    </w:rPr>
  </w:style>
  <w:style w:type="character" w:customStyle="1" w:styleId="88">
    <w:name w:val="Table Text Char Char Char Char"/>
    <w:link w:val="89"/>
    <w:qFormat/>
    <w:uiPriority w:val="0"/>
    <w:rPr>
      <w:rFonts w:ascii="Arial" w:hAnsi="Arial"/>
      <w:kern w:val="2"/>
      <w:sz w:val="18"/>
    </w:rPr>
  </w:style>
  <w:style w:type="paragraph" w:customStyle="1" w:styleId="89">
    <w:name w:val="Table Text Char Char Char"/>
    <w:link w:val="88"/>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日期 Char"/>
    <w:qFormat/>
    <w:uiPriority w:val="0"/>
    <w:rPr>
      <w:kern w:val="2"/>
      <w:sz w:val="28"/>
    </w:rPr>
  </w:style>
  <w:style w:type="character" w:customStyle="1" w:styleId="91">
    <w:name w:val="纯文本 Char"/>
    <w:uiPriority w:val="0"/>
    <w:rPr>
      <w:rFonts w:ascii="宋体" w:hAnsi="Courier New"/>
      <w:kern w:val="2"/>
      <w:sz w:val="21"/>
    </w:rPr>
  </w:style>
  <w:style w:type="character" w:customStyle="1" w:styleId="92">
    <w:name w:val="Table Text Char1 Char"/>
    <w:qFormat/>
    <w:uiPriority w:val="0"/>
    <w:rPr>
      <w:rFonts w:ascii="Arial" w:hAnsi="Arial"/>
      <w:kern w:val="2"/>
      <w:sz w:val="18"/>
      <w:lang w:val="en-US" w:eastAsia="zh-CN" w:bidi="ar-SA"/>
    </w:rPr>
  </w:style>
  <w:style w:type="character" w:customStyle="1" w:styleId="93">
    <w:name w:val="content-white1"/>
    <w:qFormat/>
    <w:uiPriority w:val="0"/>
    <w:rPr>
      <w:color w:val="auto"/>
      <w:sz w:val="18"/>
      <w:u w:val="none"/>
    </w:rPr>
  </w:style>
  <w:style w:type="character" w:customStyle="1" w:styleId="94">
    <w:name w:val="Char Char4"/>
    <w:uiPriority w:val="0"/>
    <w:rPr>
      <w:rFonts w:eastAsia="宋体"/>
      <w:b/>
      <w:kern w:val="2"/>
      <w:sz w:val="21"/>
      <w:lang w:val="en-US" w:eastAsia="zh-CN"/>
    </w:rPr>
  </w:style>
  <w:style w:type="character" w:customStyle="1" w:styleId="95">
    <w:name w:val="title_emph1"/>
    <w:qFormat/>
    <w:uiPriority w:val="0"/>
    <w:rPr>
      <w:rFonts w:hint="default" w:ascii="Arial" w:hAnsi="Arial"/>
      <w:b/>
      <w:sz w:val="20"/>
    </w:rPr>
  </w:style>
  <w:style w:type="character" w:customStyle="1" w:styleId="96">
    <w:name w:val="Char Char11"/>
    <w:qFormat/>
    <w:uiPriority w:val="0"/>
    <w:rPr>
      <w:rFonts w:ascii="宋体"/>
      <w:kern w:val="2"/>
      <w:sz w:val="28"/>
    </w:rPr>
  </w:style>
  <w:style w:type="character" w:customStyle="1" w:styleId="97">
    <w:name w:val="脚注文本 Char"/>
    <w:uiPriority w:val="0"/>
    <w:rPr>
      <w:kern w:val="2"/>
      <w:sz w:val="18"/>
    </w:rPr>
  </w:style>
  <w:style w:type="character" w:customStyle="1" w:styleId="98">
    <w:name w:val="H2 Char"/>
    <w:qFormat/>
    <w:uiPriority w:val="0"/>
    <w:rPr>
      <w:rFonts w:ascii="Arial" w:hAnsi="Arial" w:eastAsia="宋体"/>
      <w:kern w:val="2"/>
      <w:sz w:val="28"/>
      <w:lang w:val="en-US" w:eastAsia="zh-CN"/>
    </w:rPr>
  </w:style>
  <w:style w:type="character" w:customStyle="1" w:styleId="99">
    <w:name w:val="Char Char6"/>
    <w:qFormat/>
    <w:uiPriority w:val="0"/>
    <w:rPr>
      <w:rFonts w:ascii="仿宋_GB2312" w:eastAsia="仿宋_GB2312"/>
      <w:kern w:val="2"/>
      <w:sz w:val="32"/>
    </w:rPr>
  </w:style>
  <w:style w:type="character" w:customStyle="1" w:styleId="100">
    <w:name w:val="标书正文:  0.74 厘米 Char1"/>
    <w:uiPriority w:val="0"/>
    <w:rPr>
      <w:rFonts w:eastAsia="宋体"/>
      <w:kern w:val="2"/>
      <w:sz w:val="24"/>
      <w:lang w:val="en-US" w:eastAsia="zh-CN"/>
    </w:rPr>
  </w:style>
  <w:style w:type="character" w:customStyle="1" w:styleId="101">
    <w:name w:val="正文首行缩进 2 Char"/>
    <w:basedOn w:val="70"/>
    <w:qFormat/>
    <w:uiPriority w:val="0"/>
    <w:rPr>
      <w:rFonts w:cs="Times New Roman"/>
      <w:kern w:val="2"/>
      <w:sz w:val="44"/>
      <w:szCs w:val="24"/>
    </w:rPr>
  </w:style>
  <w:style w:type="character" w:customStyle="1" w:styleId="102">
    <w:name w:val="小 Char"/>
    <w:qFormat/>
    <w:uiPriority w:val="0"/>
    <w:rPr>
      <w:rFonts w:ascii="宋体" w:hAnsi="Courier New" w:eastAsia="宋体"/>
      <w:kern w:val="2"/>
      <w:sz w:val="21"/>
      <w:lang w:val="en-US" w:eastAsia="zh-CN" w:bidi="ar-SA"/>
    </w:rPr>
  </w:style>
  <w:style w:type="character" w:customStyle="1" w:styleId="103">
    <w:name w:val="文字 Char"/>
    <w:link w:val="104"/>
    <w:uiPriority w:val="0"/>
    <w:rPr>
      <w:rFonts w:ascii="宋体"/>
      <w:kern w:val="2"/>
      <w:sz w:val="28"/>
    </w:rPr>
  </w:style>
  <w:style w:type="paragraph" w:customStyle="1" w:styleId="104">
    <w:name w:val="文字"/>
    <w:basedOn w:val="1"/>
    <w:link w:val="103"/>
    <w:qFormat/>
    <w:uiPriority w:val="0"/>
    <w:pPr>
      <w:tabs>
        <w:tab w:val="left" w:pos="8520"/>
      </w:tabs>
      <w:spacing w:line="312" w:lineRule="auto"/>
      <w:ind w:right="-210" w:firstLine="556"/>
    </w:pPr>
    <w:rPr>
      <w:rFonts w:ascii="宋体"/>
      <w:sz w:val="28"/>
      <w:szCs w:val="20"/>
    </w:rPr>
  </w:style>
  <w:style w:type="character" w:customStyle="1" w:styleId="105">
    <w:name w:val="正文 + 三号 Char"/>
    <w:qFormat/>
    <w:uiPriority w:val="0"/>
    <w:rPr>
      <w:rFonts w:eastAsia="宋体"/>
      <w:kern w:val="2"/>
      <w:sz w:val="21"/>
      <w:lang w:val="en-US" w:eastAsia="zh-CN"/>
    </w:rPr>
  </w:style>
  <w:style w:type="character" w:customStyle="1" w:styleId="106">
    <w:name w:val="Table Heading Char Char"/>
    <w:uiPriority w:val="0"/>
    <w:rPr>
      <w:rFonts w:ascii="Arial" w:hAnsi="Arial" w:eastAsia="黑体"/>
      <w:kern w:val="2"/>
      <w:sz w:val="18"/>
      <w:lang w:val="en-US" w:eastAsia="zh-CN"/>
    </w:rPr>
  </w:style>
  <w:style w:type="character" w:customStyle="1" w:styleId="107">
    <w:name w:val="crowed11"/>
    <w:qFormat/>
    <w:uiPriority w:val="0"/>
    <w:rPr>
      <w:rFonts w:hint="default"/>
      <w:sz w:val="24"/>
    </w:rPr>
  </w:style>
  <w:style w:type="character" w:customStyle="1" w:styleId="108">
    <w:name w:val="font1"/>
    <w:qFormat/>
    <w:uiPriority w:val="0"/>
    <w:rPr>
      <w:color w:val="000000"/>
      <w:sz w:val="18"/>
    </w:rPr>
  </w:style>
  <w:style w:type="character" w:customStyle="1" w:styleId="109">
    <w:name w:val="Char Char"/>
    <w:uiPriority w:val="0"/>
    <w:rPr>
      <w:rFonts w:ascii="宋体" w:hAnsi="宋体" w:eastAsia="宋体"/>
      <w:kern w:val="2"/>
      <w:sz w:val="24"/>
      <w:lang w:val="en-US" w:eastAsia="zh-CN" w:bidi="ar-SA"/>
    </w:rPr>
  </w:style>
  <w:style w:type="character" w:customStyle="1" w:styleId="110">
    <w:name w:val="样式 宋体"/>
    <w:qFormat/>
    <w:uiPriority w:val="0"/>
    <w:rPr>
      <w:rFonts w:ascii="宋体" w:hAnsi="宋体" w:eastAsia="宋体"/>
      <w:sz w:val="28"/>
    </w:rPr>
  </w:style>
  <w:style w:type="character" w:customStyle="1" w:styleId="111">
    <w:name w:val="Char Char2"/>
    <w:qFormat/>
    <w:uiPriority w:val="0"/>
    <w:rPr>
      <w:rFonts w:eastAsia="宋体"/>
      <w:kern w:val="2"/>
      <w:sz w:val="18"/>
      <w:lang w:val="en-US" w:eastAsia="zh-CN"/>
    </w:rPr>
  </w:style>
  <w:style w:type="character" w:customStyle="1" w:styleId="112">
    <w:name w:val="Table Text Char"/>
    <w:link w:val="113"/>
    <w:qFormat/>
    <w:uiPriority w:val="0"/>
    <w:rPr>
      <w:rFonts w:ascii="Arial" w:hAnsi="Arial"/>
      <w:kern w:val="2"/>
      <w:sz w:val="18"/>
    </w:rPr>
  </w:style>
  <w:style w:type="paragraph" w:customStyle="1" w:styleId="113">
    <w:name w:val="Table Text"/>
    <w:link w:val="112"/>
    <w:qFormat/>
    <w:uiPriority w:val="0"/>
    <w:pPr>
      <w:snapToGrid w:val="0"/>
      <w:spacing w:before="80" w:after="80"/>
    </w:pPr>
    <w:rPr>
      <w:rFonts w:ascii="Arial" w:hAnsi="Arial" w:eastAsia="宋体" w:cs="Times New Roman"/>
      <w:kern w:val="2"/>
      <w:sz w:val="18"/>
      <w:lang w:val="en-US" w:eastAsia="zh-CN" w:bidi="ar-SA"/>
    </w:rPr>
  </w:style>
  <w:style w:type="character" w:customStyle="1" w:styleId="114">
    <w:name w:val="v151"/>
    <w:qFormat/>
    <w:uiPriority w:val="0"/>
    <w:rPr>
      <w:sz w:val="18"/>
    </w:rPr>
  </w:style>
  <w:style w:type="character" w:customStyle="1" w:styleId="115">
    <w:name w:val="top-det1"/>
    <w:qFormat/>
    <w:uiPriority w:val="0"/>
    <w:rPr>
      <w:b/>
      <w:color w:val="000000"/>
    </w:rPr>
  </w:style>
  <w:style w:type="paragraph" w:customStyle="1" w:styleId="116">
    <w:name w:val="标题无"/>
    <w:basedOn w:val="1"/>
    <w:qFormat/>
    <w:uiPriority w:val="0"/>
    <w:pPr>
      <w:spacing w:line="360" w:lineRule="auto"/>
    </w:pPr>
    <w:rPr>
      <w:sz w:val="24"/>
      <w:szCs w:val="20"/>
    </w:rPr>
  </w:style>
  <w:style w:type="paragraph" w:customStyle="1" w:styleId="117">
    <w:name w:val="表头样式"/>
    <w:basedOn w:val="1"/>
    <w:qFormat/>
    <w:uiPriority w:val="0"/>
    <w:pPr>
      <w:autoSpaceDE w:val="0"/>
      <w:autoSpaceDN w:val="0"/>
      <w:adjustRightInd w:val="0"/>
      <w:spacing w:line="360" w:lineRule="auto"/>
      <w:jc w:val="left"/>
    </w:pPr>
    <w:rPr>
      <w:b/>
      <w:kern w:val="0"/>
      <w:szCs w:val="20"/>
    </w:rPr>
  </w:style>
  <w:style w:type="paragraph" w:customStyle="1" w:styleId="118">
    <w:name w:val="00"/>
    <w:basedOn w:val="1"/>
    <w:qFormat/>
    <w:uiPriority w:val="0"/>
    <w:pPr>
      <w:autoSpaceDE w:val="0"/>
      <w:autoSpaceDN w:val="0"/>
      <w:adjustRightInd w:val="0"/>
      <w:jc w:val="left"/>
    </w:pPr>
    <w:rPr>
      <w:rFonts w:ascii="黑体" w:eastAsia="黑体"/>
      <w:b/>
      <w:kern w:val="0"/>
      <w:sz w:val="20"/>
      <w:szCs w:val="20"/>
    </w:rPr>
  </w:style>
  <w:style w:type="character" w:customStyle="1" w:styleId="119">
    <w:name w:val="标题 Char"/>
    <w:basedOn w:val="59"/>
    <w:link w:val="53"/>
    <w:qFormat/>
    <w:uiPriority w:val="0"/>
    <w:rPr>
      <w:rFonts w:ascii="Arial" w:hAnsi="Arial"/>
      <w:b/>
      <w:smallCaps/>
      <w:kern w:val="28"/>
      <w:sz w:val="36"/>
      <w:lang w:eastAsia="en-US"/>
    </w:rPr>
  </w:style>
  <w:style w:type="paragraph" w:customStyle="1" w:styleId="120">
    <w:name w:val="样式1"/>
    <w:basedOn w:val="5"/>
    <w:qFormat/>
    <w:uiPriority w:val="0"/>
    <w:pPr>
      <w:tabs>
        <w:tab w:val="left" w:pos="720"/>
      </w:tabs>
      <w:spacing w:before="500" w:after="260" w:line="560" w:lineRule="atLeast"/>
      <w:ind w:left="420" w:hanging="420"/>
    </w:pPr>
  </w:style>
  <w:style w:type="paragraph" w:customStyle="1" w:styleId="121">
    <w:name w:val="Char1 Char Char Char"/>
    <w:basedOn w:val="1"/>
    <w:qFormat/>
    <w:uiPriority w:val="0"/>
    <w:rPr>
      <w:rFonts w:ascii="Tahoma" w:hAnsi="Tahoma"/>
      <w:sz w:val="30"/>
      <w:szCs w:val="20"/>
    </w:rPr>
  </w:style>
  <w:style w:type="paragraph" w:customStyle="1" w:styleId="122">
    <w:name w:val="二级条标题"/>
    <w:basedOn w:val="123"/>
    <w:next w:val="125"/>
    <w:uiPriority w:val="0"/>
    <w:pPr>
      <w:ind w:left="840"/>
      <w:outlineLvl w:val="3"/>
    </w:pPr>
  </w:style>
  <w:style w:type="paragraph" w:customStyle="1" w:styleId="123">
    <w:name w:val="一级条标题"/>
    <w:basedOn w:val="124"/>
    <w:next w:val="125"/>
    <w:uiPriority w:val="0"/>
    <w:pPr>
      <w:spacing w:beforeLines="0" w:afterLines="0"/>
      <w:ind w:left="525"/>
      <w:outlineLvl w:val="2"/>
    </w:pPr>
    <w:rPr>
      <w:sz w:val="21"/>
    </w:rPr>
  </w:style>
  <w:style w:type="paragraph" w:customStyle="1" w:styleId="124">
    <w:name w:val="章标题"/>
    <w:next w:val="1"/>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25">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6">
    <w:name w:val="纯文本 Char1"/>
    <w:basedOn w:val="59"/>
    <w:link w:val="30"/>
    <w:uiPriority w:val="0"/>
    <w:rPr>
      <w:rFonts w:ascii="宋体" w:hAnsi="Courier New" w:cs="Courier New"/>
      <w:kern w:val="2"/>
      <w:sz w:val="21"/>
      <w:szCs w:val="21"/>
    </w:rPr>
  </w:style>
  <w:style w:type="paragraph" w:customStyle="1" w:styleId="127">
    <w:name w:val="关键词"/>
    <w:basedOn w:val="1"/>
    <w:next w:val="1"/>
    <w:uiPriority w:val="0"/>
    <w:pPr>
      <w:spacing w:line="360" w:lineRule="auto"/>
    </w:pPr>
    <w:rPr>
      <w:rFonts w:eastAsia="黑体"/>
      <w:sz w:val="20"/>
      <w:szCs w:val="20"/>
    </w:rPr>
  </w:style>
  <w:style w:type="paragraph" w:customStyle="1" w:styleId="128">
    <w:name w:val="表头文本"/>
    <w:uiPriority w:val="0"/>
    <w:pPr>
      <w:jc w:val="center"/>
    </w:pPr>
    <w:rPr>
      <w:rFonts w:ascii="Arial" w:hAnsi="Arial" w:eastAsia="宋体" w:cs="Times New Roman"/>
      <w:b/>
      <w:sz w:val="21"/>
      <w:lang w:val="en-US" w:eastAsia="zh-CN" w:bidi="ar-SA"/>
    </w:rPr>
  </w:style>
  <w:style w:type="paragraph" w:customStyle="1" w:styleId="129">
    <w:name w:val="样式 样式 正文首行缩进 2 + 左  0 字符 + 首行缩进:  2.57 字符"/>
    <w:basedOn w:val="1"/>
    <w:next w:val="1"/>
    <w:uiPriority w:val="0"/>
    <w:pPr>
      <w:adjustRightInd w:val="0"/>
      <w:snapToGrid w:val="0"/>
      <w:spacing w:after="120"/>
      <w:ind w:firstLine="540" w:firstLineChars="257"/>
    </w:pPr>
    <w:rPr>
      <w:szCs w:val="20"/>
    </w:rPr>
  </w:style>
  <w:style w:type="paragraph" w:customStyle="1" w:styleId="130">
    <w:name w:val="图标"/>
    <w:basedOn w:val="1"/>
    <w:next w:val="1"/>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0"/>
    </w:rPr>
  </w:style>
  <w:style w:type="paragraph" w:customStyle="1" w:styleId="131">
    <w:name w:val="样式4"/>
    <w:basedOn w:val="5"/>
    <w:uiPriority w:val="0"/>
    <w:pPr>
      <w:adjustRightInd w:val="0"/>
      <w:snapToGrid w:val="0"/>
    </w:pPr>
  </w:style>
  <w:style w:type="paragraph" w:customStyle="1" w:styleId="132">
    <w:name w:val="Table Text Char1"/>
    <w:uiPriority w:val="0"/>
    <w:pPr>
      <w:snapToGrid w:val="0"/>
      <w:spacing w:before="80" w:after="80"/>
    </w:pPr>
    <w:rPr>
      <w:rFonts w:ascii="Arial" w:hAnsi="Arial" w:eastAsia="宋体" w:cs="Times New Roman"/>
      <w:kern w:val="2"/>
      <w:sz w:val="18"/>
      <w:lang w:val="en-US" w:eastAsia="zh-CN" w:bidi="ar-SA"/>
    </w:rPr>
  </w:style>
  <w:style w:type="paragraph" w:customStyle="1" w:styleId="133">
    <w:name w:val="表文字"/>
    <w:uiPriority w:val="0"/>
    <w:rPr>
      <w:rFonts w:ascii="宋体" w:hAnsi="Times New Roman" w:eastAsia="宋体" w:cs="Times New Roman"/>
      <w:kern w:val="2"/>
      <w:lang w:val="en-US" w:eastAsia="zh-CN" w:bidi="ar-SA"/>
    </w:rPr>
  </w:style>
  <w:style w:type="character" w:customStyle="1" w:styleId="134">
    <w:name w:val="正文首行缩进 2 Char1"/>
    <w:basedOn w:val="70"/>
    <w:link w:val="56"/>
    <w:semiHidden/>
    <w:uiPriority w:val="99"/>
    <w:rPr>
      <w:rFonts w:cs="Times New Roman"/>
      <w:kern w:val="2"/>
      <w:sz w:val="21"/>
      <w:szCs w:val="24"/>
    </w:rPr>
  </w:style>
  <w:style w:type="paragraph" w:customStyle="1" w:styleId="135">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6">
    <w:name w:val="1.正文"/>
    <w:basedOn w:val="1"/>
    <w:uiPriority w:val="0"/>
    <w:pPr>
      <w:spacing w:line="360" w:lineRule="auto"/>
      <w:ind w:left="540" w:leftChars="225" w:firstLine="540" w:firstLineChars="225"/>
    </w:pPr>
    <w:rPr>
      <w:sz w:val="24"/>
      <w:szCs w:val="20"/>
    </w:rPr>
  </w:style>
  <w:style w:type="paragraph" w:customStyle="1" w:styleId="137">
    <w:name w:val="IN Step"/>
    <w:basedOn w:val="1"/>
    <w:uiPriority w:val="0"/>
    <w:pPr>
      <w:keepLines/>
      <w:widowControl/>
      <w:tabs>
        <w:tab w:val="left" w:pos="1134"/>
      </w:tabs>
      <w:spacing w:before="80" w:after="80" w:line="300" w:lineRule="auto"/>
      <w:ind w:left="1134" w:hanging="907"/>
      <w:outlineLvl w:val="8"/>
    </w:pPr>
    <w:rPr>
      <w:rFonts w:ascii="Arial" w:hAnsi="Arial"/>
      <w:kern w:val="0"/>
      <w:szCs w:val="20"/>
    </w:rPr>
  </w:style>
  <w:style w:type="paragraph" w:customStyle="1" w:styleId="138">
    <w:name w:val="样式 标题 1 + 居中 段前: 6 磅 段后: 6 磅 行距: 1.5 倍行距"/>
    <w:basedOn w:val="2"/>
    <w:uiPriority w:val="0"/>
    <w:pPr>
      <w:keepLines/>
      <w:adjustRightInd w:val="0"/>
      <w:spacing w:before="120" w:after="120" w:line="360" w:lineRule="auto"/>
      <w:jc w:val="center"/>
    </w:pPr>
    <w:rPr>
      <w:rFonts w:ascii="Times New Roman"/>
      <w:b/>
      <w:kern w:val="44"/>
      <w:sz w:val="32"/>
    </w:rPr>
  </w:style>
  <w:style w:type="paragraph" w:customStyle="1" w:styleId="139">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szCs w:val="20"/>
    </w:rPr>
  </w:style>
  <w:style w:type="paragraph" w:customStyle="1" w:styleId="140">
    <w:name w:val="文档正文 Char Char Char Char"/>
    <w:basedOn w:val="1"/>
    <w:uiPriority w:val="0"/>
    <w:pPr>
      <w:adjustRightInd w:val="0"/>
      <w:spacing w:line="440" w:lineRule="exact"/>
      <w:ind w:firstLine="420"/>
      <w:textAlignment w:val="baseline"/>
    </w:pPr>
    <w:rPr>
      <w:rFonts w:ascii="Arial Narrow" w:hAnsi="Arial Narrow"/>
      <w:kern w:val="0"/>
      <w:sz w:val="24"/>
      <w:szCs w:val="20"/>
    </w:rPr>
  </w:style>
  <w:style w:type="paragraph" w:customStyle="1" w:styleId="141">
    <w:name w:val="表格正文"/>
    <w:basedOn w:val="1"/>
    <w:uiPriority w:val="0"/>
    <w:rPr>
      <w:rFonts w:ascii="Calibri" w:hAnsi="Calibri" w:eastAsia="仿宋" w:cs="宋体"/>
      <w:sz w:val="24"/>
      <w:szCs w:val="20"/>
    </w:rPr>
  </w:style>
  <w:style w:type="paragraph" w:customStyle="1" w:styleId="142">
    <w:name w:val="正文文本缩进 21"/>
    <w:basedOn w:val="1"/>
    <w:uiPriority w:val="0"/>
    <w:pPr>
      <w:adjustRightInd w:val="0"/>
      <w:spacing w:before="120"/>
      <w:ind w:firstLine="420"/>
      <w:textAlignment w:val="baseline"/>
    </w:pPr>
    <w:rPr>
      <w:sz w:val="24"/>
      <w:szCs w:val="20"/>
    </w:rPr>
  </w:style>
  <w:style w:type="paragraph" w:customStyle="1" w:styleId="143">
    <w:name w:val="修订1"/>
    <w:uiPriority w:val="0"/>
    <w:rPr>
      <w:rFonts w:ascii="Times New Roman" w:hAnsi="Times New Roman" w:eastAsia="宋体" w:cs="Times New Roman"/>
      <w:kern w:val="2"/>
      <w:sz w:val="21"/>
      <w:lang w:val="en-US" w:eastAsia="zh-CN" w:bidi="ar-SA"/>
    </w:rPr>
  </w:style>
  <w:style w:type="paragraph" w:customStyle="1" w:styleId="144">
    <w:name w:val="附录1"/>
    <w:basedOn w:val="1"/>
    <w:next w:val="1"/>
    <w:qFormat/>
    <w:uiPriority w:val="0"/>
    <w:pPr>
      <w:tabs>
        <w:tab w:val="left" w:pos="1304"/>
      </w:tabs>
      <w:ind w:left="425" w:hanging="425"/>
      <w:outlineLvl w:val="0"/>
    </w:pPr>
    <w:rPr>
      <w:rFonts w:ascii="黑体" w:hAnsi="黑体" w:eastAsia="黑体"/>
      <w:b/>
      <w:sz w:val="44"/>
      <w:szCs w:val="20"/>
    </w:rPr>
  </w:style>
  <w:style w:type="paragraph" w:customStyle="1" w:styleId="145">
    <w:name w:val="Char1"/>
    <w:basedOn w:val="1"/>
    <w:uiPriority w:val="0"/>
    <w:rPr>
      <w:szCs w:val="20"/>
    </w:rPr>
  </w:style>
  <w:style w:type="paragraph" w:customStyle="1" w:styleId="146">
    <w:name w:val="xl23"/>
    <w:basedOn w:val="1"/>
    <w:uiPriority w:val="0"/>
    <w:pPr>
      <w:widowControl/>
      <w:spacing w:before="100" w:beforeAutospacing="1" w:after="100" w:afterAutospacing="1" w:line="360" w:lineRule="auto"/>
      <w:textAlignment w:val="top"/>
    </w:pPr>
    <w:rPr>
      <w:kern w:val="0"/>
      <w:sz w:val="24"/>
      <w:szCs w:val="20"/>
    </w:rPr>
  </w:style>
  <w:style w:type="paragraph" w:customStyle="1" w:styleId="147">
    <w:name w:val="样式2"/>
    <w:basedOn w:val="5"/>
    <w:qFormat/>
    <w:uiPriority w:val="0"/>
    <w:pPr>
      <w:tabs>
        <w:tab w:val="left" w:pos="720"/>
      </w:tabs>
      <w:spacing w:before="560" w:line="400" w:lineRule="exact"/>
      <w:ind w:left="420" w:hanging="420"/>
      <w:jc w:val="center"/>
      <w:outlineLvl w:val="0"/>
    </w:pPr>
    <w:rPr>
      <w:b w:val="0"/>
      <w:sz w:val="44"/>
    </w:rPr>
  </w:style>
  <w:style w:type="paragraph" w:customStyle="1" w:styleId="148">
    <w:name w:val="正文字缩2字"/>
    <w:basedOn w:val="1"/>
    <w:qFormat/>
    <w:uiPriority w:val="0"/>
    <w:pPr>
      <w:spacing w:before="60" w:after="60" w:line="360" w:lineRule="auto"/>
      <w:ind w:left="200" w:leftChars="200" w:firstLine="200" w:firstLineChars="200"/>
    </w:pPr>
    <w:rPr>
      <w:sz w:val="24"/>
      <w:szCs w:val="20"/>
    </w:rPr>
  </w:style>
  <w:style w:type="paragraph" w:customStyle="1" w:styleId="149">
    <w:name w:val="样式 正文缩进正文（首行缩进两字）表正文正文非缩进特点标题4段1 + 首行缩进:  2 字符"/>
    <w:basedOn w:val="15"/>
    <w:uiPriority w:val="0"/>
    <w:pPr>
      <w:ind w:firstLine="480" w:firstLineChars="200"/>
    </w:pPr>
  </w:style>
  <w:style w:type="paragraph" w:customStyle="1" w:styleId="150">
    <w:name w:val="附录4"/>
    <w:basedOn w:val="1"/>
    <w:next w:val="1"/>
    <w:uiPriority w:val="0"/>
    <w:pPr>
      <w:widowControl/>
      <w:tabs>
        <w:tab w:val="left" w:pos="1134"/>
      </w:tabs>
      <w:spacing w:line="300" w:lineRule="auto"/>
      <w:ind w:left="1361" w:hanging="1361"/>
      <w:outlineLvl w:val="3"/>
    </w:pPr>
    <w:rPr>
      <w:rFonts w:ascii="Arial" w:hAnsi="Arial" w:eastAsia="黑体"/>
      <w:kern w:val="0"/>
      <w:sz w:val="28"/>
      <w:szCs w:val="20"/>
    </w:rPr>
  </w:style>
  <w:style w:type="paragraph" w:customStyle="1" w:styleId="151">
    <w:name w:val="Char1 Char Char Char1"/>
    <w:basedOn w:val="1"/>
    <w:uiPriority w:val="0"/>
    <w:rPr>
      <w:rFonts w:ascii="Tahoma" w:hAnsi="Tahoma"/>
      <w:sz w:val="24"/>
      <w:szCs w:val="20"/>
    </w:rPr>
  </w:style>
  <w:style w:type="character" w:customStyle="1" w:styleId="152">
    <w:name w:val="脚注文本 Char1"/>
    <w:basedOn w:val="59"/>
    <w:link w:val="40"/>
    <w:semiHidden/>
    <w:uiPriority w:val="99"/>
    <w:rPr>
      <w:kern w:val="2"/>
      <w:sz w:val="18"/>
      <w:szCs w:val="18"/>
    </w:rPr>
  </w:style>
  <w:style w:type="paragraph" w:customStyle="1" w:styleId="153">
    <w:name w:val="表头"/>
    <w:basedOn w:val="141"/>
    <w:uiPriority w:val="0"/>
    <w:pPr>
      <w:jc w:val="center"/>
    </w:pPr>
    <w:rPr>
      <w:b/>
      <w:bCs/>
    </w:rPr>
  </w:style>
  <w:style w:type="paragraph" w:customStyle="1" w:styleId="154">
    <w:name w:val="二级列表"/>
    <w:basedOn w:val="155"/>
    <w:next w:val="155"/>
    <w:uiPriority w:val="0"/>
    <w:pPr>
      <w:tabs>
        <w:tab w:val="left" w:pos="2120"/>
      </w:tabs>
      <w:ind w:firstLine="0" w:firstLineChars="0"/>
    </w:pPr>
    <w:rPr>
      <w:b/>
    </w:rPr>
  </w:style>
  <w:style w:type="paragraph" w:customStyle="1" w:styleId="155">
    <w:name w:val="段落正文"/>
    <w:basedOn w:val="1"/>
    <w:uiPriority w:val="0"/>
    <w:pPr>
      <w:spacing w:beforeLines="50" w:line="360" w:lineRule="auto"/>
      <w:ind w:firstLine="200" w:firstLineChars="200"/>
    </w:pPr>
    <w:rPr>
      <w:spacing w:val="2"/>
      <w:sz w:val="24"/>
      <w:szCs w:val="20"/>
    </w:rPr>
  </w:style>
  <w:style w:type="character" w:customStyle="1" w:styleId="156">
    <w:name w:val="正文文本 3 Char"/>
    <w:basedOn w:val="59"/>
    <w:link w:val="20"/>
    <w:uiPriority w:val="0"/>
    <w:rPr>
      <w:kern w:val="2"/>
      <w:sz w:val="16"/>
    </w:rPr>
  </w:style>
  <w:style w:type="paragraph" w:customStyle="1" w:styleId="157">
    <w:name w:val="IN Feature"/>
    <w:next w:val="137"/>
    <w:uiPriority w:val="0"/>
    <w:pPr>
      <w:keepNext/>
      <w:keepLines/>
      <w:spacing w:before="240" w:after="240"/>
      <w:outlineLvl w:val="7"/>
    </w:pPr>
    <w:rPr>
      <w:rFonts w:ascii="Arial" w:hAnsi="Arial" w:eastAsia="黑体" w:cs="Times New Roman"/>
      <w:sz w:val="21"/>
      <w:lang w:val="en-US" w:eastAsia="zh-CN" w:bidi="ar-SA"/>
    </w:rPr>
  </w:style>
  <w:style w:type="paragraph" w:customStyle="1" w:styleId="158">
    <w:name w:val="Title - Date"/>
    <w:basedOn w:val="53"/>
    <w:next w:val="1"/>
    <w:uiPriority w:val="0"/>
    <w:pPr>
      <w:spacing w:before="240" w:after="720"/>
    </w:pPr>
    <w:rPr>
      <w:sz w:val="28"/>
    </w:rPr>
  </w:style>
  <w:style w:type="paragraph" w:customStyle="1" w:styleId="159">
    <w:name w:val="Item Step"/>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0">
    <w:name w:val="正文1"/>
    <w:basedOn w:val="1"/>
    <w:uiPriority w:val="0"/>
    <w:pPr>
      <w:spacing w:line="300" w:lineRule="auto"/>
      <w:ind w:firstLine="200" w:firstLineChars="200"/>
    </w:pPr>
    <w:rPr>
      <w:sz w:val="24"/>
      <w:szCs w:val="20"/>
    </w:rPr>
  </w:style>
  <w:style w:type="paragraph" w:customStyle="1" w:styleId="161">
    <w:name w:val="内容标题"/>
    <w:basedOn w:val="17"/>
    <w:uiPriority w:val="0"/>
    <w:rPr>
      <w:rFonts w:ascii="Tahoma" w:hAnsi="Tahoma"/>
      <w:sz w:val="24"/>
    </w:rPr>
  </w:style>
  <w:style w:type="character" w:customStyle="1" w:styleId="162">
    <w:name w:val="日期 Char1"/>
    <w:basedOn w:val="59"/>
    <w:link w:val="32"/>
    <w:semiHidden/>
    <w:uiPriority w:val="99"/>
    <w:rPr>
      <w:kern w:val="2"/>
      <w:sz w:val="21"/>
      <w:szCs w:val="24"/>
    </w:rPr>
  </w:style>
  <w:style w:type="paragraph" w:customStyle="1" w:styleId="163">
    <w:name w:val="没有缩进（为图形使用）"/>
    <w:basedOn w:val="1"/>
    <w:uiPriority w:val="0"/>
    <w:pPr>
      <w:spacing w:before="120" w:after="120" w:line="360" w:lineRule="auto"/>
    </w:pPr>
    <w:rPr>
      <w:sz w:val="24"/>
      <w:szCs w:val="20"/>
    </w:rPr>
  </w:style>
  <w:style w:type="paragraph" w:customStyle="1" w:styleId="164">
    <w:name w:val="首行缩进 1"/>
    <w:basedOn w:val="1"/>
    <w:uiPriority w:val="0"/>
    <w:pPr>
      <w:spacing w:after="120" w:line="360" w:lineRule="auto"/>
      <w:ind w:firstLine="200" w:firstLineChars="200"/>
    </w:pPr>
    <w:rPr>
      <w:sz w:val="24"/>
      <w:szCs w:val="20"/>
    </w:rPr>
  </w:style>
  <w:style w:type="paragraph" w:customStyle="1" w:styleId="165">
    <w:name w:val="tabletext"/>
    <w:basedOn w:val="1"/>
    <w:uiPriority w:val="0"/>
    <w:pPr>
      <w:widowControl/>
      <w:spacing w:before="100" w:beforeAutospacing="1" w:after="100" w:afterAutospacing="1"/>
      <w:jc w:val="left"/>
    </w:pPr>
    <w:rPr>
      <w:rFonts w:ascii="宋体" w:hAnsi="宋体" w:cs="宋体"/>
      <w:kern w:val="0"/>
      <w:sz w:val="24"/>
    </w:rPr>
  </w:style>
  <w:style w:type="paragraph" w:customStyle="1" w:styleId="166">
    <w:name w:val="Table Text Char Char"/>
    <w:uiPriority w:val="0"/>
    <w:pPr>
      <w:snapToGrid w:val="0"/>
      <w:spacing w:before="80" w:after="80"/>
    </w:pPr>
    <w:rPr>
      <w:rFonts w:ascii="Arial" w:hAnsi="Arial" w:eastAsia="宋体" w:cs="Times New Roman"/>
      <w:kern w:val="2"/>
      <w:sz w:val="18"/>
      <w:lang w:val="en-US" w:eastAsia="zh-CN" w:bidi="ar-SA"/>
    </w:rPr>
  </w:style>
  <w:style w:type="character" w:customStyle="1" w:styleId="167">
    <w:name w:val="批注文字 Char1"/>
    <w:basedOn w:val="59"/>
    <w:link w:val="19"/>
    <w:uiPriority w:val="0"/>
    <w:rPr>
      <w:kern w:val="2"/>
      <w:sz w:val="21"/>
      <w:szCs w:val="24"/>
    </w:rPr>
  </w:style>
  <w:style w:type="character" w:customStyle="1" w:styleId="168">
    <w:name w:val="批注主题 Char1"/>
    <w:basedOn w:val="167"/>
    <w:link w:val="54"/>
    <w:semiHidden/>
    <w:uiPriority w:val="99"/>
    <w:rPr>
      <w:b/>
      <w:bCs/>
      <w:kern w:val="2"/>
      <w:sz w:val="21"/>
      <w:szCs w:val="24"/>
    </w:rPr>
  </w:style>
  <w:style w:type="paragraph" w:customStyle="1" w:styleId="169">
    <w:name w:val="样式 宋体 五号 行距: 单倍行距"/>
    <w:basedOn w:val="1"/>
    <w:uiPriority w:val="0"/>
    <w:pPr>
      <w:adjustRightInd w:val="0"/>
      <w:jc w:val="left"/>
    </w:pPr>
    <w:rPr>
      <w:rFonts w:ascii="宋体" w:hAnsi="宋体"/>
      <w:kern w:val="0"/>
      <w:szCs w:val="20"/>
    </w:rPr>
  </w:style>
  <w:style w:type="paragraph" w:customStyle="1" w:styleId="170">
    <w:name w:val="段 Char"/>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71">
    <w:name w:val="正文文本缩进 3 Char"/>
    <w:basedOn w:val="59"/>
    <w:link w:val="43"/>
    <w:uiPriority w:val="0"/>
    <w:rPr>
      <w:rFonts w:ascii="黑体" w:eastAsia="黑体"/>
      <w:kern w:val="2"/>
      <w:sz w:val="28"/>
    </w:rPr>
  </w:style>
  <w:style w:type="paragraph" w:customStyle="1" w:styleId="172">
    <w:name w:val="content"/>
    <w:basedOn w:val="1"/>
    <w:uiPriority w:val="0"/>
    <w:pPr>
      <w:widowControl/>
      <w:spacing w:before="100" w:beforeAutospacing="1" w:after="100" w:afterAutospacing="1" w:line="280" w:lineRule="atLeast"/>
      <w:ind w:firstLine="375"/>
      <w:jc w:val="left"/>
    </w:pPr>
    <w:rPr>
      <w:rFonts w:ascii="宋体" w:hAnsi="宋体"/>
      <w:color w:val="000000"/>
      <w:kern w:val="0"/>
      <w:sz w:val="18"/>
      <w:szCs w:val="20"/>
    </w:rPr>
  </w:style>
  <w:style w:type="paragraph" w:customStyle="1" w:styleId="173">
    <w:name w:val="Char"/>
    <w:basedOn w:val="1"/>
    <w:uiPriority w:val="0"/>
    <w:pPr>
      <w:spacing w:line="240" w:lineRule="atLeast"/>
      <w:ind w:left="420" w:firstLine="420"/>
    </w:pPr>
    <w:rPr>
      <w:kern w:val="0"/>
      <w:szCs w:val="20"/>
    </w:rPr>
  </w:style>
  <w:style w:type="paragraph" w:customStyle="1" w:styleId="174">
    <w:name w:val="标书正文:  0.74 厘米"/>
    <w:basedOn w:val="1"/>
    <w:uiPriority w:val="0"/>
    <w:pPr>
      <w:snapToGrid w:val="0"/>
      <w:spacing w:line="360" w:lineRule="auto"/>
      <w:ind w:firstLine="420"/>
    </w:pPr>
    <w:rPr>
      <w:sz w:val="24"/>
      <w:szCs w:val="20"/>
    </w:rPr>
  </w:style>
  <w:style w:type="paragraph" w:customStyle="1" w:styleId="175">
    <w:name w:val="Char Char 字元 字元 字元 Char Char Char Char"/>
    <w:basedOn w:val="1"/>
    <w:uiPriority w:val="0"/>
    <w:pPr>
      <w:adjustRightInd w:val="0"/>
      <w:spacing w:line="360" w:lineRule="auto"/>
    </w:pPr>
    <w:rPr>
      <w:kern w:val="0"/>
      <w:sz w:val="24"/>
      <w:szCs w:val="20"/>
    </w:rPr>
  </w:style>
  <w:style w:type="paragraph" w:customStyle="1" w:styleId="176">
    <w:name w:val="列表项目"/>
    <w:basedOn w:val="1"/>
    <w:uiPriority w:val="0"/>
    <w:pPr>
      <w:tabs>
        <w:tab w:val="left" w:pos="420"/>
      </w:tabs>
      <w:spacing w:line="288" w:lineRule="auto"/>
      <w:ind w:left="840" w:leftChars="200" w:hanging="420" w:hangingChars="200"/>
    </w:pPr>
    <w:rPr>
      <w:szCs w:val="20"/>
    </w:rPr>
  </w:style>
  <w:style w:type="character" w:customStyle="1" w:styleId="177">
    <w:name w:val="文档结构图 Char"/>
    <w:basedOn w:val="59"/>
    <w:link w:val="17"/>
    <w:uiPriority w:val="0"/>
    <w:rPr>
      <w:kern w:val="2"/>
      <w:sz w:val="28"/>
      <w:shd w:val="clear" w:color="auto" w:fill="000080"/>
    </w:rPr>
  </w:style>
  <w:style w:type="paragraph" w:customStyle="1" w:styleId="178">
    <w:name w:val="表号"/>
    <w:basedOn w:val="1"/>
    <w:qFormat/>
    <w:uiPriority w:val="0"/>
    <w:pPr>
      <w:tabs>
        <w:tab w:val="left" w:pos="648"/>
      </w:tabs>
      <w:autoSpaceDE w:val="0"/>
      <w:autoSpaceDN w:val="0"/>
      <w:adjustRightInd w:val="0"/>
      <w:spacing w:before="210" w:after="210"/>
      <w:ind w:left="425" w:hanging="137"/>
      <w:jc w:val="center"/>
    </w:pPr>
    <w:rPr>
      <w:kern w:val="0"/>
      <w:szCs w:val="20"/>
      <w:lang w:eastAsia="en-US"/>
    </w:rPr>
  </w:style>
  <w:style w:type="paragraph" w:customStyle="1" w:styleId="179">
    <w:name w:val="可研正文"/>
    <w:basedOn w:val="22"/>
    <w:qFormat/>
    <w:uiPriority w:val="0"/>
    <w:pPr>
      <w:adjustRightInd w:val="0"/>
      <w:snapToGrid w:val="0"/>
      <w:spacing w:line="440" w:lineRule="exact"/>
      <w:ind w:firstLine="567"/>
    </w:pPr>
    <w:rPr>
      <w:rFonts w:ascii="仿宋_GB2312" w:eastAsia="仿宋_GB2312"/>
      <w:sz w:val="28"/>
      <w:szCs w:val="20"/>
    </w:rPr>
  </w:style>
  <w:style w:type="paragraph" w:customStyle="1" w:styleId="180">
    <w:name w:val="Title - Revision"/>
    <w:basedOn w:val="53"/>
    <w:uiPriority w:val="0"/>
    <w:pPr>
      <w:spacing w:before="720"/>
    </w:pPr>
  </w:style>
  <w:style w:type="paragraph" w:customStyle="1" w:styleId="181">
    <w:name w:val="样式 宋体 五号 两端对齐 行距: 单倍行距"/>
    <w:basedOn w:val="1"/>
    <w:uiPriority w:val="0"/>
    <w:pPr>
      <w:adjustRightInd w:val="0"/>
      <w:textAlignment w:val="baseline"/>
    </w:pPr>
    <w:rPr>
      <w:rFonts w:ascii="宋体" w:hAnsi="宋体"/>
      <w:kern w:val="0"/>
      <w:szCs w:val="20"/>
    </w:rPr>
  </w:style>
  <w:style w:type="paragraph" w:customStyle="1" w:styleId="182">
    <w:name w:val="Char Char1 Char"/>
    <w:basedOn w:val="1"/>
    <w:uiPriority w:val="0"/>
    <w:rPr>
      <w:rFonts w:ascii="Tahoma" w:hAnsi="Tahoma"/>
      <w:sz w:val="24"/>
    </w:rPr>
  </w:style>
  <w:style w:type="paragraph" w:customStyle="1" w:styleId="183">
    <w:name w:val="正文文本 21"/>
    <w:basedOn w:val="1"/>
    <w:uiPriority w:val="0"/>
    <w:pPr>
      <w:adjustRightInd w:val="0"/>
      <w:spacing w:before="120" w:line="360" w:lineRule="auto"/>
      <w:ind w:firstLine="480"/>
      <w:textAlignment w:val="baseline"/>
    </w:pPr>
    <w:rPr>
      <w:sz w:val="24"/>
      <w:szCs w:val="20"/>
    </w:rPr>
  </w:style>
  <w:style w:type="paragraph" w:customStyle="1" w:styleId="184">
    <w:name w:val="正文 + 三号"/>
    <w:basedOn w:val="1"/>
    <w:uiPriority w:val="0"/>
    <w:rPr>
      <w:szCs w:val="20"/>
    </w:rPr>
  </w:style>
  <w:style w:type="paragraph" w:customStyle="1" w:styleId="185">
    <w:name w:val="bt"/>
    <w:basedOn w:val="1"/>
    <w:next w:val="22"/>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szCs w:val="20"/>
    </w:rPr>
  </w:style>
  <w:style w:type="paragraph" w:customStyle="1" w:styleId="186">
    <w:name w:val="_"/>
    <w:basedOn w:val="1"/>
    <w:uiPriority w:val="0"/>
    <w:pPr>
      <w:adjustRightInd w:val="0"/>
      <w:spacing w:line="360" w:lineRule="auto"/>
      <w:ind w:left="480" w:firstLine="200" w:firstLineChars="200"/>
      <w:textAlignment w:val="baseline"/>
    </w:pPr>
    <w:rPr>
      <w:kern w:val="0"/>
      <w:sz w:val="24"/>
      <w:szCs w:val="20"/>
    </w:rPr>
  </w:style>
  <w:style w:type="paragraph" w:customStyle="1" w:styleId="187">
    <w:name w:val="样式 正文首行缩进 2 + 首行缩进:  2 字符"/>
    <w:basedOn w:val="1"/>
    <w:uiPriority w:val="0"/>
    <w:pPr>
      <w:tabs>
        <w:tab w:val="left" w:pos="987"/>
      </w:tabs>
      <w:adjustRightInd w:val="0"/>
      <w:snapToGrid w:val="0"/>
      <w:spacing w:line="360" w:lineRule="auto"/>
      <w:ind w:left="987" w:hanging="420"/>
    </w:pPr>
    <w:rPr>
      <w:rFonts w:ascii="Arial" w:hAnsi="Arial"/>
      <w:b/>
      <w:sz w:val="24"/>
      <w:szCs w:val="20"/>
    </w:rPr>
  </w:style>
  <w:style w:type="paragraph" w:customStyle="1" w:styleId="188">
    <w:name w:val="摘要"/>
    <w:basedOn w:val="1"/>
    <w:next w:val="3"/>
    <w:uiPriority w:val="0"/>
    <w:pPr>
      <w:spacing w:line="360" w:lineRule="auto"/>
    </w:pPr>
    <w:rPr>
      <w:rFonts w:eastAsia="黑体"/>
      <w:sz w:val="20"/>
      <w:szCs w:val="20"/>
    </w:rPr>
  </w:style>
  <w:style w:type="paragraph" w:customStyle="1" w:styleId="189">
    <w:name w:val="正文（首行不缩进）"/>
    <w:basedOn w:val="1"/>
    <w:uiPriority w:val="0"/>
    <w:pPr>
      <w:autoSpaceDE w:val="0"/>
      <w:autoSpaceDN w:val="0"/>
      <w:adjustRightInd w:val="0"/>
      <w:spacing w:line="360" w:lineRule="auto"/>
      <w:jc w:val="left"/>
    </w:pPr>
    <w:rPr>
      <w:kern w:val="0"/>
      <w:szCs w:val="20"/>
    </w:rPr>
  </w:style>
  <w:style w:type="paragraph" w:customStyle="1" w:styleId="190">
    <w:name w:val="CSS1级正文 Char"/>
    <w:basedOn w:val="22"/>
    <w:qFormat/>
    <w:uiPriority w:val="0"/>
    <w:pPr>
      <w:adjustRightInd w:val="0"/>
      <w:snapToGrid w:val="0"/>
      <w:spacing w:line="360" w:lineRule="auto"/>
      <w:ind w:firstLine="480"/>
    </w:pPr>
    <w:rPr>
      <w:sz w:val="24"/>
      <w:szCs w:val="20"/>
    </w:rPr>
  </w:style>
  <w:style w:type="paragraph" w:customStyle="1" w:styleId="191">
    <w:name w:val="Figure Description"/>
    <w:next w:val="1"/>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92">
    <w:name w:val="Char2 Char Char Char Char Char Char"/>
    <w:basedOn w:val="1"/>
    <w:uiPriority w:val="0"/>
    <w:rPr>
      <w:rFonts w:ascii="仿宋_GB2312"/>
      <w:b/>
      <w:sz w:val="30"/>
      <w:szCs w:val="20"/>
    </w:rPr>
  </w:style>
  <w:style w:type="paragraph" w:customStyle="1" w:styleId="193">
    <w:name w:val="Char Char Char Char Char Char1 Char"/>
    <w:basedOn w:val="1"/>
    <w:uiPriority w:val="0"/>
    <w:pPr>
      <w:widowControl/>
      <w:spacing w:after="160" w:line="240" w:lineRule="exact"/>
      <w:jc w:val="left"/>
    </w:pPr>
    <w:rPr>
      <w:rFonts w:ascii="Verdana" w:hAnsi="Verdana"/>
      <w:kern w:val="0"/>
      <w:szCs w:val="20"/>
      <w:lang w:eastAsia="en-US"/>
    </w:rPr>
  </w:style>
  <w:style w:type="paragraph" w:customStyle="1" w:styleId="194">
    <w:name w:val="默认段落字体 Para Char Char Char Char Char Char Char Char Char1 Char Char Char Char"/>
    <w:basedOn w:val="1"/>
    <w:qFormat/>
    <w:uiPriority w:val="0"/>
    <w:rPr>
      <w:rFonts w:ascii="Tahoma" w:hAnsi="Tahoma"/>
      <w:sz w:val="24"/>
      <w:szCs w:val="20"/>
    </w:rPr>
  </w:style>
  <w:style w:type="paragraph" w:customStyle="1" w:styleId="195">
    <w:name w:val="简单回函地址"/>
    <w:basedOn w:val="1"/>
    <w:uiPriority w:val="0"/>
    <w:pPr>
      <w:adjustRightInd w:val="0"/>
      <w:snapToGrid w:val="0"/>
      <w:spacing w:line="360" w:lineRule="auto"/>
    </w:pPr>
    <w:rPr>
      <w:sz w:val="24"/>
      <w:szCs w:val="20"/>
    </w:rPr>
  </w:style>
  <w:style w:type="paragraph" w:customStyle="1" w:styleId="196">
    <w:name w:val="样式1xz"/>
    <w:basedOn w:val="1"/>
    <w:uiPriority w:val="0"/>
    <w:pPr>
      <w:tabs>
        <w:tab w:val="left" w:pos="1050"/>
        <w:tab w:val="right" w:leader="dot" w:pos="8296"/>
      </w:tabs>
    </w:pPr>
    <w:rPr>
      <w:caps/>
      <w:spacing w:val="20"/>
      <w:sz w:val="24"/>
      <w:szCs w:val="20"/>
    </w:rPr>
  </w:style>
  <w:style w:type="paragraph" w:customStyle="1" w:styleId="197">
    <w:name w:val="Char Char1"/>
    <w:basedOn w:val="1"/>
    <w:uiPriority w:val="0"/>
    <w:pPr>
      <w:widowControl/>
      <w:spacing w:after="160" w:line="240" w:lineRule="exact"/>
      <w:jc w:val="left"/>
    </w:pPr>
    <w:rPr>
      <w:rFonts w:ascii="Verdana" w:hAnsi="Verdana"/>
      <w:kern w:val="0"/>
      <w:sz w:val="20"/>
      <w:szCs w:val="20"/>
      <w:lang w:eastAsia="en-US"/>
    </w:rPr>
  </w:style>
  <w:style w:type="paragraph" w:customStyle="1" w:styleId="198">
    <w:name w:val="Char2"/>
    <w:basedOn w:val="1"/>
    <w:uiPriority w:val="0"/>
    <w:pPr>
      <w:spacing w:line="240" w:lineRule="atLeast"/>
      <w:ind w:left="420" w:firstLine="420"/>
    </w:pPr>
    <w:rPr>
      <w:kern w:val="0"/>
      <w:szCs w:val="20"/>
    </w:rPr>
  </w:style>
  <w:style w:type="paragraph" w:customStyle="1" w:styleId="199">
    <w:name w:val="操作步骤"/>
    <w:basedOn w:val="1"/>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Cs w:val="20"/>
    </w:rPr>
  </w:style>
  <w:style w:type="character" w:customStyle="1" w:styleId="200">
    <w:name w:val="正文首行缩进 Char"/>
    <w:basedOn w:val="69"/>
    <w:link w:val="55"/>
    <w:uiPriority w:val="0"/>
    <w:rPr>
      <w:rFonts w:ascii="宋体" w:hAnsi="宋体" w:cs="Times New Roman"/>
      <w:kern w:val="2"/>
      <w:sz w:val="24"/>
      <w:szCs w:val="24"/>
    </w:rPr>
  </w:style>
  <w:style w:type="character" w:customStyle="1" w:styleId="201">
    <w:name w:val="正文文本 2 Char"/>
    <w:basedOn w:val="59"/>
    <w:link w:val="47"/>
    <w:uiPriority w:val="0"/>
    <w:rPr>
      <w:kern w:val="2"/>
      <w:sz w:val="24"/>
    </w:rPr>
  </w:style>
  <w:style w:type="paragraph" w:customStyle="1" w:styleId="202">
    <w:name w:val="样式 样式 首行缩进:  2 字符 + 首行缩进:  2 字符"/>
    <w:basedOn w:val="1"/>
    <w:uiPriority w:val="0"/>
    <w:pPr>
      <w:spacing w:line="360" w:lineRule="auto"/>
      <w:ind w:firstLine="480" w:firstLineChars="200"/>
    </w:pPr>
    <w:rPr>
      <w:sz w:val="24"/>
      <w:szCs w:val="20"/>
    </w:rPr>
  </w:style>
  <w:style w:type="paragraph" w:customStyle="1" w:styleId="203">
    <w:name w:val="小标题 1"/>
    <w:basedOn w:val="1"/>
    <w:uiPriority w:val="0"/>
    <w:pPr>
      <w:autoSpaceDE w:val="0"/>
      <w:autoSpaceDN w:val="0"/>
      <w:adjustRightInd w:val="0"/>
      <w:spacing w:line="360" w:lineRule="atLeast"/>
    </w:pPr>
    <w:rPr>
      <w:rFonts w:ascii="文鼎粗黑" w:eastAsia="文鼎粗黑"/>
      <w:kern w:val="0"/>
      <w:sz w:val="22"/>
      <w:szCs w:val="20"/>
    </w:rPr>
  </w:style>
  <w:style w:type="paragraph" w:customStyle="1" w:styleId="204">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szCs w:val="20"/>
    </w:rPr>
  </w:style>
  <w:style w:type="paragraph" w:customStyle="1" w:styleId="205">
    <w:name w:val="普通正文"/>
    <w:basedOn w:val="1"/>
    <w:uiPriority w:val="0"/>
    <w:pPr>
      <w:adjustRightInd w:val="0"/>
      <w:spacing w:before="120" w:after="120" w:line="360" w:lineRule="auto"/>
      <w:ind w:firstLine="480"/>
      <w:jc w:val="left"/>
      <w:textAlignment w:val="baseline"/>
    </w:pPr>
    <w:rPr>
      <w:rFonts w:ascii="Arial" w:hAnsi="Arial"/>
      <w:kern w:val="0"/>
      <w:sz w:val="24"/>
      <w:szCs w:val="20"/>
    </w:rPr>
  </w:style>
  <w:style w:type="paragraph" w:customStyle="1" w:styleId="206">
    <w:name w:val="文本1"/>
    <w:basedOn w:val="1"/>
    <w:uiPriority w:val="0"/>
    <w:pPr>
      <w:adjustRightInd w:val="0"/>
      <w:spacing w:line="312" w:lineRule="atLeast"/>
      <w:jc w:val="center"/>
      <w:textAlignment w:val="baseline"/>
    </w:pPr>
    <w:rPr>
      <w:kern w:val="0"/>
      <w:sz w:val="18"/>
      <w:szCs w:val="20"/>
    </w:rPr>
  </w:style>
  <w:style w:type="paragraph" w:customStyle="1" w:styleId="207">
    <w:name w:val="1"/>
    <w:basedOn w:val="1"/>
    <w:next w:val="30"/>
    <w:qFormat/>
    <w:uiPriority w:val="0"/>
    <w:rPr>
      <w:rFonts w:ascii="宋体" w:hAnsi="Courier New"/>
      <w:szCs w:val="20"/>
    </w:rPr>
  </w:style>
  <w:style w:type="paragraph" w:customStyle="1" w:styleId="20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209">
    <w:name w:val="Char Char Char Char Char Char Char"/>
    <w:basedOn w:val="17"/>
    <w:uiPriority w:val="0"/>
    <w:rPr>
      <w:rFonts w:ascii="宋体" w:hAnsi="Tahoma"/>
    </w:rPr>
  </w:style>
  <w:style w:type="paragraph" w:customStyle="1" w:styleId="210">
    <w:name w:val="Item Step in Table"/>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211">
    <w:name w:val="文档正文 Char Char Char Char Char"/>
    <w:basedOn w:val="1"/>
    <w:uiPriority w:val="0"/>
    <w:pPr>
      <w:adjustRightInd w:val="0"/>
      <w:spacing w:line="440" w:lineRule="exact"/>
      <w:ind w:firstLine="420"/>
      <w:textAlignment w:val="baseline"/>
    </w:pPr>
    <w:rPr>
      <w:rFonts w:ascii="Arial Narrow" w:hAnsi="Arial Narrow"/>
      <w:kern w:val="0"/>
      <w:sz w:val="24"/>
      <w:szCs w:val="20"/>
    </w:rPr>
  </w:style>
  <w:style w:type="paragraph" w:customStyle="1" w:styleId="212">
    <w:name w:val="首行缩进"/>
    <w:basedOn w:val="1"/>
    <w:uiPriority w:val="0"/>
    <w:pPr>
      <w:tabs>
        <w:tab w:val="left" w:pos="540"/>
      </w:tabs>
      <w:spacing w:line="360" w:lineRule="auto"/>
      <w:ind w:left="540"/>
    </w:pPr>
    <w:rPr>
      <w:rFonts w:eastAsia="仿宋_GB2312"/>
      <w:sz w:val="28"/>
      <w:szCs w:val="20"/>
    </w:rPr>
  </w:style>
  <w:style w:type="paragraph" w:customStyle="1" w:styleId="213">
    <w:name w:val="正文格式"/>
    <w:basedOn w:val="1"/>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szCs w:val="20"/>
    </w:rPr>
  </w:style>
  <w:style w:type="paragraph" w:customStyle="1" w:styleId="214">
    <w:name w:val="Item Lis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15">
    <w:name w:val="正文格式 Char"/>
    <w:basedOn w:val="1"/>
    <w:uiPriority w:val="0"/>
    <w:pPr>
      <w:widowControl/>
      <w:adjustRightInd w:val="0"/>
      <w:spacing w:line="440" w:lineRule="atLeast"/>
      <w:ind w:firstLine="510"/>
      <w:textAlignment w:val="baseline"/>
    </w:pPr>
    <w:rPr>
      <w:kern w:val="0"/>
      <w:sz w:val="24"/>
      <w:szCs w:val="20"/>
    </w:rPr>
  </w:style>
  <w:style w:type="paragraph" w:customStyle="1" w:styleId="216">
    <w:name w:val="Char Char14 Char Char"/>
    <w:basedOn w:val="1"/>
    <w:uiPriority w:val="0"/>
  </w:style>
  <w:style w:type="paragraph" w:customStyle="1" w:styleId="217">
    <w:name w:val="司法正文"/>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8">
    <w:name w:val="Char Char Char1 Char Char Char Char Char Char Char Char Char 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219">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220">
    <w:name w:val="标题5"/>
    <w:basedOn w:val="1"/>
    <w:uiPriority w:val="0"/>
    <w:pPr>
      <w:tabs>
        <w:tab w:val="left" w:pos="0"/>
      </w:tabs>
      <w:autoSpaceDE w:val="0"/>
      <w:autoSpaceDN w:val="0"/>
      <w:adjustRightInd w:val="0"/>
      <w:snapToGrid w:val="0"/>
      <w:spacing w:line="320" w:lineRule="atLeast"/>
    </w:pPr>
    <w:rPr>
      <w:rFonts w:ascii="宋体"/>
      <w:kern w:val="0"/>
      <w:szCs w:val="20"/>
    </w:rPr>
  </w:style>
  <w:style w:type="paragraph" w:customStyle="1" w:styleId="221">
    <w:name w:val="Char Char Char Char"/>
    <w:basedOn w:val="1"/>
    <w:qFormat/>
    <w:uiPriority w:val="0"/>
    <w:pPr>
      <w:pageBreakBefore/>
      <w:widowControl/>
      <w:spacing w:after="160" w:line="240" w:lineRule="exact"/>
      <w:jc w:val="left"/>
    </w:pPr>
    <w:rPr>
      <w:rFonts w:ascii="Verdana" w:hAnsi="Verdana"/>
      <w:kern w:val="0"/>
      <w:sz w:val="20"/>
      <w:szCs w:val="20"/>
      <w:lang w:eastAsia="en-US"/>
    </w:rPr>
  </w:style>
  <w:style w:type="paragraph" w:customStyle="1" w:styleId="222">
    <w:name w:val="af"/>
    <w:basedOn w:val="1"/>
    <w:uiPriority w:val="0"/>
    <w:pPr>
      <w:widowControl/>
      <w:spacing w:line="300" w:lineRule="atLeast"/>
      <w:jc w:val="left"/>
    </w:pPr>
    <w:rPr>
      <w:rFonts w:ascii="宋体" w:hAnsi="宋体"/>
      <w:kern w:val="0"/>
      <w:sz w:val="18"/>
      <w:szCs w:val="20"/>
    </w:rPr>
  </w:style>
  <w:style w:type="paragraph" w:customStyle="1" w:styleId="223">
    <w:name w:val="图例"/>
    <w:basedOn w:val="1"/>
    <w:uiPriority w:val="0"/>
    <w:pPr>
      <w:spacing w:before="120" w:after="120" w:line="360" w:lineRule="auto"/>
      <w:jc w:val="center"/>
    </w:pPr>
    <w:rPr>
      <w:rFonts w:eastAsia="仿宋_GB2312"/>
      <w:b/>
      <w:sz w:val="24"/>
      <w:szCs w:val="20"/>
    </w:rPr>
  </w:style>
  <w:style w:type="paragraph" w:customStyle="1" w:styleId="224">
    <w:name w:val="Char Char Char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25">
    <w:name w:val="正文4"/>
    <w:basedOn w:val="1"/>
    <w:uiPriority w:val="0"/>
    <w:pPr>
      <w:tabs>
        <w:tab w:val="left" w:pos="1275"/>
      </w:tabs>
      <w:spacing w:before="60" w:after="60" w:line="360" w:lineRule="auto"/>
      <w:ind w:left="820" w:leftChars="400" w:hanging="705"/>
    </w:pPr>
    <w:rPr>
      <w:sz w:val="24"/>
      <w:szCs w:val="20"/>
    </w:rPr>
  </w:style>
  <w:style w:type="paragraph" w:customStyle="1" w:styleId="226">
    <w:name w:val="Char Char Char Char Char"/>
    <w:basedOn w:val="1"/>
    <w:uiPriority w:val="0"/>
    <w:pPr>
      <w:tabs>
        <w:tab w:val="left" w:pos="425"/>
      </w:tabs>
      <w:ind w:left="1620" w:hanging="360"/>
    </w:pPr>
    <w:rPr>
      <w:rFonts w:ascii="Tahoma" w:hAnsi="Tahoma"/>
      <w:sz w:val="24"/>
      <w:szCs w:val="20"/>
    </w:rPr>
  </w:style>
  <w:style w:type="paragraph" w:customStyle="1" w:styleId="227">
    <w:name w:val="默认段落字体 Para Char Char Char Char Char Char Char"/>
    <w:basedOn w:val="1"/>
    <w:uiPriority w:val="0"/>
    <w:rPr>
      <w:rFonts w:ascii="Tahoma" w:hAnsi="Tahoma"/>
      <w:sz w:val="24"/>
      <w:szCs w:val="20"/>
    </w:rPr>
  </w:style>
  <w:style w:type="paragraph" w:customStyle="1" w:styleId="228">
    <w:name w:val="样式 仿宋_GB2312 首行缩进:  2 字符"/>
    <w:basedOn w:val="1"/>
    <w:uiPriority w:val="0"/>
    <w:pPr>
      <w:spacing w:line="600" w:lineRule="exact"/>
      <w:ind w:firstLine="420" w:firstLineChars="150"/>
      <w:jc w:val="left"/>
    </w:pPr>
    <w:rPr>
      <w:rFonts w:ascii="仿宋_GB2312" w:hAnsi="Arial" w:eastAsia="仿宋_GB2312"/>
      <w:color w:val="000000"/>
      <w:kern w:val="0"/>
      <w:sz w:val="28"/>
      <w:szCs w:val="20"/>
      <w:lang w:val="zh-CN"/>
    </w:rPr>
  </w:style>
  <w:style w:type="paragraph" w:customStyle="1" w:styleId="229">
    <w:name w:val="编号正文"/>
    <w:basedOn w:val="230"/>
    <w:uiPriority w:val="0"/>
    <w:pPr>
      <w:snapToGrid/>
      <w:spacing w:line="360" w:lineRule="auto"/>
      <w:ind w:left="1407" w:hanging="1047"/>
      <w:jc w:val="left"/>
    </w:pPr>
    <w:rPr>
      <w:rFonts w:eastAsia="仿宋_GB2312"/>
    </w:rPr>
  </w:style>
  <w:style w:type="paragraph" w:customStyle="1" w:styleId="230">
    <w:name w:val="文档正文"/>
    <w:basedOn w:val="1"/>
    <w:uiPriority w:val="0"/>
    <w:pPr>
      <w:adjustRightInd w:val="0"/>
      <w:snapToGrid w:val="0"/>
      <w:spacing w:line="440" w:lineRule="exact"/>
      <w:ind w:firstLine="567"/>
      <w:textAlignment w:val="baseline"/>
    </w:pPr>
    <w:rPr>
      <w:rFonts w:ascii="Arial Narrow" w:hAnsi="Arial Narrow"/>
      <w:kern w:val="0"/>
      <w:sz w:val="24"/>
      <w:szCs w:val="20"/>
    </w:rPr>
  </w:style>
  <w:style w:type="paragraph" w:customStyle="1" w:styleId="231">
    <w:name w:val="表格内文字"/>
    <w:basedOn w:val="30"/>
    <w:uiPriority w:val="0"/>
    <w:pPr>
      <w:adjustRightInd w:val="0"/>
    </w:pPr>
    <w:rPr>
      <w:color w:val="000000"/>
      <w:lang w:val="en-GB"/>
    </w:rPr>
  </w:style>
  <w:style w:type="paragraph" w:customStyle="1" w:styleId="232">
    <w:name w:val="样式 行距: 1.5 倍行距1"/>
    <w:basedOn w:val="1"/>
    <w:uiPriority w:val="0"/>
    <w:pPr>
      <w:snapToGrid w:val="0"/>
    </w:pPr>
    <w:rPr>
      <w:szCs w:val="20"/>
    </w:rPr>
  </w:style>
  <w:style w:type="paragraph" w:customStyle="1" w:styleId="233">
    <w:name w:val="项目"/>
    <w:basedOn w:val="1"/>
    <w:uiPriority w:val="0"/>
    <w:pPr>
      <w:tabs>
        <w:tab w:val="left" w:pos="1280"/>
      </w:tabs>
      <w:spacing w:before="120" w:after="120" w:line="360" w:lineRule="auto"/>
      <w:ind w:left="-7" w:firstLine="567"/>
      <w:jc w:val="left"/>
      <w:textAlignment w:val="baseline"/>
    </w:pPr>
    <w:rPr>
      <w:rFonts w:ascii="宋体"/>
      <w:kern w:val="0"/>
      <w:sz w:val="24"/>
      <w:szCs w:val="20"/>
    </w:rPr>
  </w:style>
  <w:style w:type="paragraph" w:customStyle="1" w:styleId="234">
    <w:name w:val="表格文本"/>
    <w:uiPriority w:val="0"/>
    <w:pPr>
      <w:tabs>
        <w:tab w:val="decimal" w:pos="0"/>
      </w:tabs>
    </w:pPr>
    <w:rPr>
      <w:rFonts w:ascii="Arial" w:hAnsi="Arial" w:eastAsia="宋体" w:cs="Times New Roman"/>
      <w:sz w:val="21"/>
      <w:lang w:val="en-US" w:eastAsia="zh-CN" w:bidi="ar-SA"/>
    </w:rPr>
  </w:style>
  <w:style w:type="paragraph" w:customStyle="1" w:styleId="235">
    <w:name w:val="正文表格"/>
    <w:basedOn w:val="1"/>
    <w:uiPriority w:val="0"/>
    <w:pPr>
      <w:adjustRightInd w:val="0"/>
      <w:spacing w:before="40" w:after="40"/>
    </w:pPr>
    <w:rPr>
      <w:sz w:val="24"/>
      <w:szCs w:val="20"/>
    </w:rPr>
  </w:style>
  <w:style w:type="paragraph" w:customStyle="1" w:styleId="236">
    <w:name w:val="样式 首行缩进:  0.74 厘米"/>
    <w:basedOn w:val="1"/>
    <w:uiPriority w:val="0"/>
    <w:pPr>
      <w:spacing w:line="360" w:lineRule="auto"/>
      <w:ind w:firstLine="420"/>
    </w:pPr>
    <w:rPr>
      <w:sz w:val="24"/>
      <w:szCs w:val="20"/>
    </w:rPr>
  </w:style>
  <w:style w:type="paragraph" w:customStyle="1" w:styleId="237">
    <w:name w:val="Style Heading 3h3Heading 3 - oldLevel 3 HeadH3level_3PIM 3se..."/>
    <w:basedOn w:val="4"/>
    <w:qFormat/>
    <w:uiPriority w:val="0"/>
    <w:pPr>
      <w:tabs>
        <w:tab w:val="left" w:pos="709"/>
        <w:tab w:val="left" w:pos="1620"/>
      </w:tabs>
      <w:spacing w:line="413" w:lineRule="auto"/>
      <w:ind w:left="1620" w:hanging="360"/>
    </w:pPr>
    <w:rPr>
      <w:bCs w:val="0"/>
      <w:szCs w:val="20"/>
    </w:rPr>
  </w:style>
  <w:style w:type="paragraph" w:customStyle="1" w:styleId="238">
    <w:name w:val="Table Contents"/>
    <w:basedOn w:val="22"/>
    <w:qFormat/>
    <w:uiPriority w:val="0"/>
    <w:pPr>
      <w:suppressAutoHyphens/>
      <w:jc w:val="left"/>
    </w:pPr>
    <w:rPr>
      <w:rFonts w:eastAsia="Times New Roman"/>
      <w:kern w:val="0"/>
      <w:sz w:val="24"/>
      <w:szCs w:val="20"/>
    </w:rPr>
  </w:style>
  <w:style w:type="paragraph" w:customStyle="1" w:styleId="239">
    <w:name w:val="xl40"/>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240">
    <w:name w:val="标题2"/>
    <w:basedOn w:val="3"/>
    <w:uiPriority w:val="0"/>
    <w:pPr>
      <w:keepNext w:val="0"/>
      <w:keepLines w:val="0"/>
      <w:adjustRightInd w:val="0"/>
      <w:snapToGrid w:val="0"/>
      <w:spacing w:before="0" w:after="0" w:line="360" w:lineRule="auto"/>
      <w:ind w:firstLine="574" w:firstLineChars="196"/>
      <w:outlineLvl w:val="9"/>
    </w:pPr>
    <w:rPr>
      <w:rFonts w:ascii="宋体" w:hAnsi="宋体" w:eastAsia="宋体"/>
      <w:bCs w:val="0"/>
      <w:spacing w:val="6"/>
      <w:sz w:val="28"/>
      <w:szCs w:val="20"/>
      <w:u w:val="single"/>
    </w:rPr>
  </w:style>
  <w:style w:type="paragraph" w:customStyle="1" w:styleId="241">
    <w:name w:val="样式3"/>
    <w:basedOn w:val="2"/>
    <w:next w:val="2"/>
    <w:uiPriority w:val="0"/>
    <w:pPr>
      <w:keepLines/>
      <w:adjustRightInd w:val="0"/>
      <w:spacing w:before="340" w:after="330" w:line="576" w:lineRule="auto"/>
    </w:pPr>
    <w:rPr>
      <w:rFonts w:ascii="Times New Roman" w:eastAsia="黑体"/>
      <w:b/>
      <w:kern w:val="44"/>
      <w:sz w:val="44"/>
    </w:rPr>
  </w:style>
  <w:style w:type="paragraph" w:customStyle="1" w:styleId="242">
    <w:name w:val="标题3——2"/>
    <w:basedOn w:val="4"/>
    <w:next w:val="55"/>
    <w:uiPriority w:val="0"/>
    <w:pPr>
      <w:tabs>
        <w:tab w:val="left" w:pos="1280"/>
        <w:tab w:val="right" w:leader="dot" w:pos="8777"/>
      </w:tabs>
      <w:spacing w:beforeLines="100" w:after="0" w:line="240" w:lineRule="auto"/>
      <w:ind w:left="851" w:hanging="851"/>
      <w:outlineLvl w:val="9"/>
    </w:pPr>
    <w:rPr>
      <w:rFonts w:ascii="黑体" w:hAnsi="宋体" w:eastAsia="黑体"/>
      <w:bCs w:val="0"/>
      <w:sz w:val="30"/>
      <w:szCs w:val="20"/>
    </w:rPr>
  </w:style>
  <w:style w:type="paragraph" w:customStyle="1" w:styleId="243">
    <w:name w:val="Char Char Char Char Char Char Char Char Char Char Char Char Char Char Char Char"/>
    <w:basedOn w:val="1"/>
    <w:uiPriority w:val="0"/>
    <w:pPr>
      <w:tabs>
        <w:tab w:val="left" w:pos="360"/>
      </w:tabs>
    </w:pPr>
    <w:rPr>
      <w:sz w:val="24"/>
      <w:szCs w:val="20"/>
    </w:rPr>
  </w:style>
  <w:style w:type="paragraph" w:customStyle="1" w:styleId="244">
    <w:name w:val="附录3"/>
    <w:basedOn w:val="1"/>
    <w:next w:val="1"/>
    <w:uiPriority w:val="0"/>
    <w:pPr>
      <w:tabs>
        <w:tab w:val="left" w:pos="851"/>
      </w:tabs>
      <w:ind w:left="425" w:hanging="425"/>
      <w:outlineLvl w:val="2"/>
    </w:pPr>
    <w:rPr>
      <w:rFonts w:eastAsia="黑体"/>
      <w:b/>
      <w:sz w:val="32"/>
      <w:szCs w:val="20"/>
    </w:rPr>
  </w:style>
  <w:style w:type="paragraph" w:customStyle="1" w:styleId="245">
    <w:name w:val="style1"/>
    <w:basedOn w:val="1"/>
    <w:uiPriority w:val="0"/>
    <w:pPr>
      <w:widowControl/>
      <w:spacing w:before="100" w:beforeAutospacing="1" w:after="100" w:afterAutospacing="1"/>
      <w:jc w:val="left"/>
    </w:pPr>
    <w:rPr>
      <w:rFonts w:ascii="宋体" w:hAnsi="宋体"/>
      <w:kern w:val="0"/>
      <w:szCs w:val="20"/>
    </w:rPr>
  </w:style>
  <w:style w:type="paragraph" w:customStyle="1" w:styleId="246">
    <w:name w:val="缺省文本"/>
    <w:basedOn w:val="1"/>
    <w:uiPriority w:val="0"/>
    <w:pPr>
      <w:tabs>
        <w:tab w:val="left" w:pos="1260"/>
      </w:tabs>
      <w:autoSpaceDE w:val="0"/>
      <w:autoSpaceDN w:val="0"/>
      <w:adjustRightInd w:val="0"/>
      <w:spacing w:line="360" w:lineRule="auto"/>
      <w:jc w:val="left"/>
    </w:pPr>
    <w:rPr>
      <w:kern w:val="0"/>
      <w:sz w:val="24"/>
      <w:szCs w:val="20"/>
    </w:rPr>
  </w:style>
  <w:style w:type="paragraph" w:customStyle="1" w:styleId="247">
    <w:name w:val="xl27"/>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0"/>
    </w:rPr>
  </w:style>
  <w:style w:type="paragraph" w:customStyle="1" w:styleId="248">
    <w:name w:val="附录2"/>
    <w:basedOn w:val="1"/>
    <w:next w:val="1"/>
    <w:qFormat/>
    <w:uiPriority w:val="0"/>
    <w:pPr>
      <w:tabs>
        <w:tab w:val="left" w:pos="420"/>
        <w:tab w:val="left" w:pos="624"/>
      </w:tabs>
      <w:ind w:left="420" w:hanging="420"/>
      <w:outlineLvl w:val="1"/>
    </w:pPr>
    <w:rPr>
      <w:rFonts w:ascii="黑体" w:hAnsi="黑体" w:eastAsia="黑体"/>
      <w:b/>
      <w:sz w:val="32"/>
      <w:szCs w:val="20"/>
    </w:rPr>
  </w:style>
  <w:style w:type="paragraph" w:customStyle="1" w:styleId="249">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50">
    <w:name w:val="È±Ê¡ÎÄ±¾"/>
    <w:basedOn w:val="1"/>
    <w:uiPriority w:val="0"/>
    <w:pPr>
      <w:widowControl/>
      <w:overflowPunct w:val="0"/>
      <w:autoSpaceDE w:val="0"/>
      <w:autoSpaceDN w:val="0"/>
      <w:adjustRightInd w:val="0"/>
      <w:jc w:val="left"/>
      <w:textAlignment w:val="baseline"/>
    </w:pPr>
    <w:rPr>
      <w:kern w:val="0"/>
      <w:sz w:val="24"/>
      <w:szCs w:val="20"/>
    </w:rPr>
  </w:style>
  <w:style w:type="paragraph" w:customStyle="1" w:styleId="251">
    <w:name w:val="文章正文"/>
    <w:basedOn w:val="1"/>
    <w:uiPriority w:val="0"/>
    <w:pPr>
      <w:ind w:firstLine="560" w:firstLineChars="200"/>
    </w:pPr>
    <w:rPr>
      <w:rFonts w:ascii="仿宋_GB2312" w:hAnsi="宋体" w:eastAsia="仿宋_GB2312"/>
      <w:color w:val="000000"/>
      <w:sz w:val="28"/>
      <w:szCs w:val="20"/>
    </w:rPr>
  </w:style>
  <w:style w:type="paragraph" w:customStyle="1" w:styleId="252">
    <w:name w:val="Note"/>
    <w:basedOn w:val="1"/>
    <w:uiPriority w:val="0"/>
    <w:pPr>
      <w:pBdr>
        <w:top w:val="single" w:color="auto" w:sz="12" w:space="3"/>
        <w:bottom w:val="single" w:color="auto" w:sz="12" w:space="3"/>
      </w:pBdr>
      <w:spacing w:line="360" w:lineRule="auto"/>
    </w:pPr>
    <w:rPr>
      <w:sz w:val="24"/>
      <w:szCs w:val="20"/>
    </w:rPr>
  </w:style>
  <w:style w:type="paragraph" w:customStyle="1" w:styleId="253">
    <w:name w:val="标准正文"/>
    <w:basedOn w:val="23"/>
    <w:uiPriority w:val="0"/>
    <w:pPr>
      <w:spacing w:before="60" w:after="60" w:line="360" w:lineRule="auto"/>
      <w:ind w:left="0" w:leftChars="0" w:firstLine="482"/>
    </w:pPr>
    <w:rPr>
      <w:rFonts w:ascii="Arial" w:hAnsi="Arial"/>
      <w:sz w:val="24"/>
      <w:szCs w:val="20"/>
    </w:rPr>
  </w:style>
  <w:style w:type="paragraph" w:customStyle="1" w:styleId="254">
    <w:name w:val="Char Char1 Char Char 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55">
    <w:name w:val="图片文字"/>
    <w:basedOn w:val="1"/>
    <w:qFormat/>
    <w:uiPriority w:val="0"/>
    <w:pPr>
      <w:spacing w:line="240" w:lineRule="atLeast"/>
      <w:jc w:val="center"/>
    </w:pPr>
    <w:rPr>
      <w:szCs w:val="20"/>
    </w:rPr>
  </w:style>
  <w:style w:type="paragraph" w:customStyle="1" w:styleId="256">
    <w:name w:val="Char Char Char"/>
    <w:basedOn w:val="1"/>
    <w:qFormat/>
    <w:uiPriority w:val="0"/>
    <w:rPr>
      <w:rFonts w:ascii="Tahoma" w:hAnsi="Tahoma"/>
      <w:sz w:val="24"/>
      <w:szCs w:val="20"/>
    </w:rPr>
  </w:style>
  <w:style w:type="paragraph" w:customStyle="1" w:styleId="25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8">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5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szCs w:val="20"/>
      <w:lang w:eastAsia="zh-TW"/>
    </w:rPr>
  </w:style>
  <w:style w:type="paragraph" w:customStyle="1" w:styleId="260">
    <w:name w:val="文本框样式1"/>
    <w:basedOn w:val="1"/>
    <w:qFormat/>
    <w:uiPriority w:val="0"/>
    <w:pPr>
      <w:adjustRightInd w:val="0"/>
      <w:snapToGrid w:val="0"/>
      <w:spacing w:before="60" w:line="180" w:lineRule="exact"/>
      <w:jc w:val="center"/>
    </w:pPr>
    <w:rPr>
      <w:szCs w:val="20"/>
    </w:rPr>
  </w:style>
  <w:style w:type="paragraph" w:customStyle="1" w:styleId="261">
    <w:name w:val="Char Char Char Char Char Char Char1"/>
    <w:basedOn w:val="1"/>
    <w:qFormat/>
    <w:uiPriority w:val="0"/>
    <w:rPr>
      <w:rFonts w:ascii="Tahoma" w:hAnsi="Tahoma"/>
      <w:sz w:val="24"/>
      <w:szCs w:val="20"/>
    </w:rPr>
  </w:style>
  <w:style w:type="paragraph" w:customStyle="1" w:styleId="262">
    <w:name w:val="列出段落1"/>
    <w:basedOn w:val="1"/>
    <w:qFormat/>
    <w:uiPriority w:val="99"/>
    <w:pPr>
      <w:ind w:firstLine="420" w:firstLineChars="200"/>
    </w:pPr>
  </w:style>
  <w:style w:type="paragraph" w:customStyle="1" w:styleId="263">
    <w:name w:val="_Style 5"/>
    <w:qFormat/>
    <w:uiPriority w:val="0"/>
    <w:rPr>
      <w:rFonts w:ascii="Calibri" w:hAnsi="Calibri" w:eastAsia="宋体" w:cs="Times New Roman"/>
      <w:sz w:val="22"/>
      <w:szCs w:val="22"/>
      <w:lang w:val="en-US" w:eastAsia="zh-CN" w:bidi="ar-SA"/>
    </w:rPr>
  </w:style>
  <w:style w:type="paragraph" w:customStyle="1" w:styleId="264">
    <w:name w:val="_Style 1"/>
    <w:qFormat/>
    <w:uiPriority w:val="0"/>
    <w:rPr>
      <w:rFonts w:ascii="Calibri" w:hAnsi="Calibri" w:eastAsia="宋体" w:cs="Times New Roman"/>
      <w:sz w:val="22"/>
      <w:szCs w:val="22"/>
      <w:lang w:val="en-US" w:eastAsia="zh-CN" w:bidi="ar-SA"/>
    </w:rPr>
  </w:style>
  <w:style w:type="paragraph" w:customStyle="1" w:styleId="265">
    <w:name w:val="列出段落2"/>
    <w:basedOn w:val="1"/>
    <w:unhideWhenUsed/>
    <w:qFormat/>
    <w:uiPriority w:val="99"/>
    <w:pPr>
      <w:ind w:firstLine="420" w:firstLineChars="200"/>
    </w:pPr>
  </w:style>
  <w:style w:type="character" w:customStyle="1" w:styleId="266">
    <w:name w:val="标题 5（1） （2） Char"/>
    <w:link w:val="267"/>
    <w:qFormat/>
    <w:uiPriority w:val="0"/>
    <w:rPr>
      <w:rFonts w:ascii="Verdana" w:hAnsi="Verdana" w:eastAsia="黑体"/>
      <w:b/>
      <w:kern w:val="2"/>
      <w:sz w:val="24"/>
      <w:szCs w:val="24"/>
    </w:rPr>
  </w:style>
  <w:style w:type="paragraph" w:customStyle="1" w:styleId="267">
    <w:name w:val="标题 5（1） （2）"/>
    <w:next w:val="1"/>
    <w:link w:val="266"/>
    <w:qFormat/>
    <w:uiPriority w:val="0"/>
    <w:pPr>
      <w:spacing w:before="10" w:beforeLines="10" w:after="10" w:afterLines="10"/>
      <w:ind w:firstLine="125" w:firstLineChars="125"/>
    </w:pPr>
    <w:rPr>
      <w:rFonts w:ascii="Verdana" w:hAnsi="Verdana" w:eastAsia="黑体" w:cs="Times New Roman"/>
      <w:b/>
      <w:kern w:val="2"/>
      <w:sz w:val="24"/>
      <w:szCs w:val="24"/>
      <w:lang w:val="en-US" w:eastAsia="zh-CN" w:bidi="ar-SA"/>
    </w:rPr>
  </w:style>
  <w:style w:type="paragraph" w:customStyle="1" w:styleId="268">
    <w:name w:val="p0"/>
    <w:basedOn w:val="1"/>
    <w:semiHidden/>
    <w:qFormat/>
    <w:uiPriority w:val="0"/>
    <w:pPr>
      <w:widowControl/>
      <w:jc w:val="left"/>
    </w:pPr>
    <w:rPr>
      <w:rFonts w:ascii="Calibri" w:hAnsi="Calibri"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4749</Words>
  <Characters>27075</Characters>
  <Lines>225</Lines>
  <Paragraphs>63</Paragraphs>
  <TotalTime>1</TotalTime>
  <ScaleCrop>false</ScaleCrop>
  <LinksUpToDate>false</LinksUpToDate>
  <CharactersWithSpaces>31761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2020-03-30T10:53:00Z</dcterms:created>
  <dc:creator>lenovo</dc:creator>
  <cp:lastModifiedBy>Administrator</cp:lastModifiedBy>
  <cp:lastPrinted>2021-10-22T15:10:00Z</cp:lastPrinted>
  <dcterms:modified xsi:type="dcterms:W3CDTF">2021-11-10T00:33:46Z</dcterms:modified>
  <dc:title>焦作市医疗机构医用耗材集中招标采购</dc:title>
  <cp:revision>233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_DocHome">
    <vt:i4>1409532544</vt:i4>
  </property>
  <property fmtid="{D5CDD505-2E9C-101B-9397-08002B2CF9AE}" pid="4" name="ICV">
    <vt:lpwstr>40761A3E477E4B98890479B9BF7A22C1</vt:lpwstr>
  </property>
</Properties>
</file>