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eastAsia="黑体"/>
          <w:spacing w:val="80"/>
          <w:sz w:val="100"/>
          <w:szCs w:val="100"/>
        </w:rPr>
      </w:pPr>
      <w:r>
        <w:rPr>
          <w:rFonts w:hint="eastAsia" w:ascii="黑体" w:eastAsia="黑体"/>
          <w:spacing w:val="80"/>
          <w:sz w:val="100"/>
          <w:szCs w:val="100"/>
        </w:rPr>
        <w:t>竞争性磋商文件</w:t>
      </w:r>
    </w:p>
    <w:p>
      <w:pPr>
        <w:jc w:val="center"/>
        <w:outlineLvl w:val="0"/>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32"/>
        </w:rPr>
      </w:pPr>
    </w:p>
    <w:p>
      <w:pPr>
        <w:spacing w:line="700" w:lineRule="exact"/>
        <w:rPr>
          <w:sz w:val="28"/>
          <w:szCs w:val="28"/>
        </w:rPr>
      </w:pPr>
    </w:p>
    <w:p>
      <w:pPr>
        <w:spacing w:line="360" w:lineRule="auto"/>
        <w:rPr>
          <w:rFonts w:ascii="宋体" w:hAnsi="宋体"/>
          <w:b/>
          <w:color w:val="000000"/>
          <w:sz w:val="28"/>
          <w:szCs w:val="28"/>
        </w:rPr>
      </w:pPr>
      <w:r>
        <w:rPr>
          <w:rFonts w:hint="eastAsia" w:ascii="宋体" w:hAnsi="宋体"/>
          <w:b/>
          <w:color w:val="000000"/>
          <w:sz w:val="28"/>
          <w:szCs w:val="28"/>
        </w:rPr>
        <w:t>项目名称</w:t>
      </w:r>
      <w:r>
        <w:rPr>
          <w:rFonts w:ascii="宋体" w:hAnsi="宋体"/>
          <w:b/>
          <w:color w:val="000000"/>
          <w:sz w:val="28"/>
          <w:szCs w:val="28"/>
        </w:rPr>
        <w:t xml:space="preserve">: </w:t>
      </w:r>
      <w:r>
        <w:rPr>
          <w:rFonts w:hint="eastAsia" w:ascii="方正小标宋_GBK" w:hAnsi="宋体" w:eastAsia="方正小标宋_GBK"/>
          <w:color w:val="000000"/>
          <w:sz w:val="32"/>
        </w:rPr>
        <w:t>重庆市江北区中医院污水处理设施营运管理服务项目</w:t>
      </w:r>
    </w:p>
    <w:p>
      <w:pPr>
        <w:spacing w:line="360" w:lineRule="auto"/>
        <w:rPr>
          <w:rFonts w:ascii="宋体"/>
          <w:b/>
          <w:color w:val="000000"/>
          <w:sz w:val="28"/>
          <w:szCs w:val="28"/>
          <w:u w:val="single"/>
        </w:rPr>
      </w:pPr>
      <w:r>
        <w:rPr>
          <w:rFonts w:hint="eastAsia" w:ascii="宋体" w:hAnsi="宋体"/>
          <w:b/>
          <w:color w:val="000000"/>
          <w:sz w:val="28"/>
          <w:szCs w:val="28"/>
        </w:rPr>
        <w:t>项目编号</w:t>
      </w:r>
      <w:r>
        <w:rPr>
          <w:rFonts w:ascii="宋体" w:hAnsi="宋体"/>
          <w:b/>
          <w:color w:val="000000"/>
          <w:sz w:val="28"/>
          <w:szCs w:val="28"/>
        </w:rPr>
        <w:t xml:space="preserve">: </w:t>
      </w:r>
      <w:r>
        <w:rPr>
          <w:rFonts w:ascii="宋体" w:hAnsi="宋体"/>
          <w:b/>
          <w:color w:val="000000"/>
          <w:sz w:val="28"/>
          <w:szCs w:val="28"/>
          <w:u w:val="single"/>
        </w:rPr>
        <w:t>20</w:t>
      </w:r>
      <w:r>
        <w:rPr>
          <w:rFonts w:hint="eastAsia" w:ascii="宋体" w:hAnsi="宋体"/>
          <w:b/>
          <w:color w:val="000000"/>
          <w:sz w:val="28"/>
          <w:szCs w:val="28"/>
          <w:u w:val="single"/>
        </w:rPr>
        <w:t>21</w:t>
      </w:r>
      <w:r>
        <w:rPr>
          <w:rFonts w:ascii="宋体" w:hAnsi="宋体"/>
          <w:b/>
          <w:color w:val="000000"/>
          <w:sz w:val="28"/>
          <w:szCs w:val="28"/>
          <w:u w:val="single"/>
        </w:rPr>
        <w:t>B0</w:t>
      </w:r>
      <w:r>
        <w:rPr>
          <w:rFonts w:hint="eastAsia" w:ascii="宋体" w:hAnsi="宋体"/>
          <w:b/>
          <w:color w:val="000000"/>
          <w:sz w:val="28"/>
          <w:szCs w:val="28"/>
          <w:u w:val="single"/>
        </w:rPr>
        <w:t>10</w:t>
      </w:r>
    </w:p>
    <w:p>
      <w:pPr>
        <w:spacing w:line="360" w:lineRule="auto"/>
        <w:rPr>
          <w:rFonts w:ascii="宋体"/>
          <w:color w:val="000000"/>
          <w:sz w:val="28"/>
          <w:szCs w:val="28"/>
          <w:u w:val="single"/>
        </w:rPr>
      </w:pPr>
      <w:r>
        <w:rPr>
          <w:rFonts w:hint="eastAsia" w:ascii="宋体" w:hAnsi="宋体"/>
          <w:b/>
          <w:color w:val="000000"/>
          <w:sz w:val="28"/>
          <w:szCs w:val="28"/>
        </w:rPr>
        <w:t>采购人</w:t>
      </w:r>
      <w:r>
        <w:rPr>
          <w:rFonts w:ascii="宋体" w:hAnsi="宋体"/>
          <w:b/>
          <w:color w:val="000000"/>
          <w:sz w:val="28"/>
          <w:szCs w:val="28"/>
        </w:rPr>
        <w:t xml:space="preserve">: </w:t>
      </w:r>
      <w:r>
        <w:rPr>
          <w:rFonts w:hint="eastAsia" w:ascii="宋体" w:hAnsi="宋体"/>
          <w:b/>
          <w:color w:val="000000"/>
          <w:sz w:val="28"/>
          <w:szCs w:val="28"/>
          <w:u w:val="single"/>
        </w:rPr>
        <w:t>重庆市江北区中医院</w:t>
      </w:r>
    </w:p>
    <w:p>
      <w:pPr>
        <w:spacing w:line="360" w:lineRule="auto"/>
        <w:rPr>
          <w:rFonts w:ascii="宋体"/>
          <w:b/>
          <w:color w:val="000000"/>
          <w:sz w:val="28"/>
          <w:szCs w:val="28"/>
        </w:rPr>
      </w:pPr>
      <w:r>
        <w:rPr>
          <w:rFonts w:hint="eastAsia" w:ascii="宋体" w:hAnsi="宋体"/>
          <w:b/>
          <w:color w:val="000000"/>
          <w:sz w:val="28"/>
          <w:szCs w:val="28"/>
        </w:rPr>
        <w:t>招标部门：</w:t>
      </w:r>
      <w:r>
        <w:rPr>
          <w:rFonts w:hint="eastAsia" w:ascii="宋体" w:hAnsi="宋体"/>
          <w:b/>
          <w:color w:val="000000"/>
          <w:sz w:val="28"/>
          <w:szCs w:val="28"/>
          <w:u w:val="single"/>
        </w:rPr>
        <w:t>总务科</w:t>
      </w:r>
    </w:p>
    <w:p>
      <w:pPr>
        <w:tabs>
          <w:tab w:val="left" w:pos="2860"/>
        </w:tabs>
        <w:spacing w:line="360" w:lineRule="auto"/>
        <w:rPr>
          <w:rFonts w:ascii="宋体"/>
          <w:b/>
          <w:color w:val="000000"/>
          <w:sz w:val="28"/>
          <w:szCs w:val="28"/>
        </w:rPr>
      </w:pPr>
      <w:r>
        <w:rPr>
          <w:rFonts w:hint="eastAsia" w:ascii="宋体" w:hAnsi="宋体"/>
          <w:b/>
          <w:color w:val="000000"/>
          <w:sz w:val="28"/>
          <w:szCs w:val="28"/>
        </w:rPr>
        <w:t>日　期：</w:t>
      </w:r>
      <w:r>
        <w:rPr>
          <w:rFonts w:hint="eastAsia" w:ascii="宋体" w:hAnsi="宋体"/>
          <w:b/>
          <w:color w:val="000000"/>
          <w:sz w:val="28"/>
          <w:szCs w:val="28"/>
          <w:u w:val="single"/>
        </w:rPr>
        <w:t>二</w:t>
      </w:r>
      <w:r>
        <w:rPr>
          <w:rFonts w:ascii="宋体" w:hAnsi="宋体"/>
          <w:b/>
          <w:color w:val="000000"/>
          <w:sz w:val="28"/>
          <w:szCs w:val="28"/>
          <w:u w:val="single"/>
        </w:rPr>
        <w:t>O</w:t>
      </w:r>
      <w:r>
        <w:rPr>
          <w:rFonts w:hint="eastAsia" w:ascii="宋体" w:hAnsi="宋体"/>
          <w:b/>
          <w:color w:val="000000"/>
          <w:sz w:val="28"/>
          <w:szCs w:val="28"/>
          <w:u w:val="single"/>
        </w:rPr>
        <w:t>二一年七月</w:t>
      </w:r>
    </w:p>
    <w:p>
      <w:pPr>
        <w:tabs>
          <w:tab w:val="left" w:pos="2860"/>
        </w:tabs>
        <w:spacing w:line="360" w:lineRule="auto"/>
        <w:rPr>
          <w:szCs w:val="21"/>
        </w:rPr>
      </w:pPr>
    </w:p>
    <w:p>
      <w:pPr>
        <w:rPr>
          <w:szCs w:val="21"/>
        </w:rPr>
      </w:pPr>
    </w:p>
    <w:p>
      <w:pPr>
        <w:rPr>
          <w:szCs w:val="21"/>
        </w:rPr>
      </w:pPr>
    </w:p>
    <w:p>
      <w:pPr>
        <w:rPr>
          <w:szCs w:val="21"/>
        </w:rPr>
      </w:pPr>
    </w:p>
    <w:p>
      <w:pPr>
        <w:rPr>
          <w:szCs w:val="21"/>
        </w:rPr>
      </w:pPr>
    </w:p>
    <w:p>
      <w:pPr>
        <w:pStyle w:val="3"/>
        <w:spacing w:before="0" w:after="0" w:line="560" w:lineRule="exact"/>
        <w:jc w:val="center"/>
        <w:rPr>
          <w:rFonts w:ascii="黑体" w:hAnsi="黑体"/>
          <w:b w:val="0"/>
          <w:color w:val="000000"/>
        </w:rPr>
      </w:pPr>
      <w:bookmarkStart w:id="0" w:name="_Toc11641050"/>
      <w:bookmarkStart w:id="1" w:name="_Toc12789052"/>
      <w:bookmarkStart w:id="2" w:name="_Toc29543158"/>
    </w:p>
    <w:p/>
    <w:p>
      <w:pPr>
        <w:pStyle w:val="3"/>
        <w:spacing w:before="0" w:after="0" w:line="560" w:lineRule="exact"/>
        <w:jc w:val="center"/>
        <w:rPr>
          <w:rFonts w:ascii="黑体" w:hAnsi="黑体"/>
          <w:b w:val="0"/>
          <w:color w:val="000000" w:themeColor="text1"/>
        </w:rPr>
      </w:pPr>
      <w:r>
        <w:rPr>
          <w:rFonts w:hint="eastAsia" w:ascii="黑体" w:hAnsi="黑体"/>
          <w:b w:val="0"/>
          <w:color w:val="000000" w:themeColor="text1"/>
        </w:rPr>
        <w:t>第一篇  磋商邀请书</w:t>
      </w:r>
      <w:bookmarkEnd w:id="0"/>
      <w:bookmarkEnd w:id="1"/>
      <w:bookmarkEnd w:id="2"/>
    </w:p>
    <w:p>
      <w:pPr>
        <w:spacing w:line="760" w:lineRule="exact"/>
        <w:jc w:val="left"/>
        <w:rPr>
          <w:rFonts w:cs="宋体"/>
          <w:szCs w:val="21"/>
        </w:rPr>
      </w:pPr>
      <w:r>
        <w:rPr>
          <w:rFonts w:hint="eastAsia" w:ascii="方正仿宋_GBK" w:hAnsi="宋体" w:eastAsia="方正仿宋_GBK"/>
          <w:color w:val="000000" w:themeColor="text1"/>
          <w:sz w:val="28"/>
          <w:szCs w:val="28"/>
        </w:rPr>
        <w:t xml:space="preserve">    </w:t>
      </w:r>
      <w:r>
        <w:rPr>
          <w:rFonts w:hint="eastAsia" w:cs="宋体"/>
          <w:szCs w:val="21"/>
        </w:rPr>
        <w:t>重庆市江北区中医院污水处理设施营运管理服务项目进行竞争性磋商采购，欢迎有资格的供应商前来参与投标。</w:t>
      </w:r>
    </w:p>
    <w:p>
      <w:pPr>
        <w:pStyle w:val="4"/>
        <w:spacing w:before="0" w:after="0" w:line="560" w:lineRule="exact"/>
        <w:ind w:firstLine="422" w:firstLineChars="150"/>
        <w:rPr>
          <w:rFonts w:cs="宋体"/>
          <w:bCs w:val="0"/>
          <w:sz w:val="28"/>
          <w:szCs w:val="28"/>
        </w:rPr>
      </w:pPr>
      <w:bookmarkStart w:id="3" w:name="_Toc317775175"/>
      <w:bookmarkStart w:id="4" w:name="_Toc29543159"/>
      <w:bookmarkStart w:id="5" w:name="_Toc313893526"/>
      <w:r>
        <w:rPr>
          <w:rFonts w:hint="eastAsia" w:cs="宋体"/>
          <w:bCs w:val="0"/>
          <w:sz w:val="28"/>
          <w:szCs w:val="28"/>
        </w:rPr>
        <w:t>一、项目内容</w:t>
      </w:r>
      <w:bookmarkEnd w:id="3"/>
      <w:bookmarkEnd w:id="4"/>
      <w:bookmarkEnd w:id="5"/>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7"/>
        <w:gridCol w:w="1613"/>
        <w:gridCol w:w="1463"/>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4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szCs w:val="21"/>
              </w:rPr>
            </w:pPr>
            <w:r>
              <w:rPr>
                <w:rFonts w:hint="eastAsia" w:cs="宋体"/>
                <w:szCs w:val="21"/>
              </w:rPr>
              <w:t>项目名称</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采购预算</w:t>
            </w:r>
          </w:p>
          <w:p>
            <w:pPr>
              <w:spacing w:line="320" w:lineRule="exact"/>
              <w:jc w:val="center"/>
              <w:rPr>
                <w:rFonts w:cs="宋体"/>
                <w:szCs w:val="21"/>
              </w:rPr>
            </w:pPr>
            <w:r>
              <w:rPr>
                <w:rFonts w:hint="eastAsia" w:cs="宋体"/>
                <w:szCs w:val="21"/>
              </w:rPr>
              <w:t>（元）</w:t>
            </w:r>
          </w:p>
        </w:tc>
        <w:tc>
          <w:tcPr>
            <w:tcW w:w="14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cs="宋体"/>
                <w:szCs w:val="21"/>
              </w:rPr>
            </w:pPr>
          </w:p>
        </w:tc>
        <w:tc>
          <w:tcPr>
            <w:tcW w:w="141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4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 w:val="24"/>
                <w:szCs w:val="28"/>
              </w:rPr>
            </w:pPr>
            <w:r>
              <w:rPr>
                <w:rFonts w:hint="eastAsia" w:cs="宋体"/>
                <w:szCs w:val="21"/>
              </w:rPr>
              <w:t>江北区中医院污水处理设施营运管理服务</w:t>
            </w:r>
          </w:p>
        </w:tc>
        <w:tc>
          <w:tcPr>
            <w:tcW w:w="161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 w:val="24"/>
                <w:szCs w:val="28"/>
              </w:rPr>
            </w:pPr>
            <w:r>
              <w:rPr>
                <w:rFonts w:hint="eastAsia" w:ascii="宋体" w:hAnsi="宋体" w:cs="宋体"/>
                <w:b/>
                <w:bCs/>
                <w:color w:val="000000"/>
                <w:sz w:val="24"/>
              </w:rPr>
              <w:t>196765.00</w:t>
            </w:r>
          </w:p>
        </w:tc>
        <w:tc>
          <w:tcPr>
            <w:tcW w:w="146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
                <w:sz w:val="24"/>
                <w:szCs w:val="28"/>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sz w:val="24"/>
                <w:szCs w:val="28"/>
              </w:rPr>
            </w:pPr>
            <w:r>
              <w:rPr>
                <w:rFonts w:hint="eastAsia" w:cs="宋体"/>
                <w:color w:val="FF0000"/>
                <w:szCs w:val="21"/>
              </w:rPr>
              <w:t>不接受联合体投标</w:t>
            </w:r>
          </w:p>
        </w:tc>
      </w:tr>
    </w:tbl>
    <w:p/>
    <w:p>
      <w:pPr>
        <w:pStyle w:val="22"/>
        <w:spacing w:line="560" w:lineRule="exact"/>
        <w:ind w:firstLine="560" w:firstLineChars="200"/>
        <w:rPr>
          <w:rFonts w:cs="宋体"/>
          <w:sz w:val="21"/>
          <w:szCs w:val="21"/>
        </w:rPr>
      </w:pPr>
      <w:bookmarkStart w:id="6" w:name="_Toc29543160"/>
      <w:bookmarkStart w:id="7" w:name="_Toc373860293"/>
      <w:bookmarkStart w:id="8" w:name="_Toc317775178"/>
      <w:r>
        <w:rPr>
          <w:rFonts w:hint="eastAsia" w:ascii="方正仿宋_GBK" w:eastAsia="方正仿宋_GBK"/>
          <w:b/>
          <w:color w:val="000000" w:themeColor="text1"/>
          <w:sz w:val="28"/>
          <w:szCs w:val="28"/>
        </w:rPr>
        <w:t>采购期限为1年。</w:t>
      </w:r>
      <w:r>
        <w:rPr>
          <w:rFonts w:hint="eastAsia" w:cs="宋体"/>
          <w:sz w:val="21"/>
          <w:szCs w:val="21"/>
        </w:rPr>
        <w:t>合同期满后，经采购人考核合格，采购人可按照中标金额及要求与中标人续签合同</w:t>
      </w:r>
      <w:r>
        <w:rPr>
          <w:rFonts w:cs="宋体"/>
          <w:sz w:val="21"/>
          <w:szCs w:val="21"/>
        </w:rPr>
        <w:t xml:space="preserve">, </w:t>
      </w:r>
      <w:r>
        <w:rPr>
          <w:rFonts w:hint="eastAsia" w:cs="宋体"/>
          <w:sz w:val="21"/>
          <w:szCs w:val="21"/>
        </w:rPr>
        <w:t>但续签年限不超过</w:t>
      </w:r>
      <w:r>
        <w:rPr>
          <w:rFonts w:cs="宋体"/>
          <w:sz w:val="21"/>
          <w:szCs w:val="21"/>
        </w:rPr>
        <w:t>2</w:t>
      </w:r>
      <w:r>
        <w:rPr>
          <w:rFonts w:hint="eastAsia" w:cs="宋体"/>
          <w:sz w:val="21"/>
          <w:szCs w:val="21"/>
        </w:rPr>
        <w:t>年。</w:t>
      </w:r>
    </w:p>
    <w:p>
      <w:pPr>
        <w:pStyle w:val="4"/>
        <w:spacing w:before="0" w:after="0" w:line="560" w:lineRule="exact"/>
        <w:ind w:firstLine="562" w:firstLineChars="200"/>
        <w:rPr>
          <w:rFonts w:cs="宋体"/>
          <w:bCs w:val="0"/>
          <w:sz w:val="28"/>
          <w:szCs w:val="28"/>
        </w:rPr>
      </w:pPr>
      <w:r>
        <w:rPr>
          <w:rFonts w:hint="eastAsia" w:cs="宋体"/>
          <w:bCs w:val="0"/>
          <w:sz w:val="28"/>
          <w:szCs w:val="28"/>
        </w:rPr>
        <w:t>二、资金来源</w:t>
      </w:r>
      <w:bookmarkEnd w:id="6"/>
    </w:p>
    <w:p>
      <w:pPr>
        <w:pStyle w:val="4"/>
        <w:spacing w:before="0" w:after="0" w:line="560" w:lineRule="exact"/>
        <w:ind w:firstLine="420" w:firstLineChars="200"/>
        <w:rPr>
          <w:rFonts w:cs="宋体"/>
          <w:b w:val="0"/>
          <w:bCs w:val="0"/>
          <w:sz w:val="21"/>
          <w:szCs w:val="21"/>
        </w:rPr>
      </w:pPr>
      <w:bookmarkStart w:id="9" w:name="_Toc29543161"/>
      <w:r>
        <w:rPr>
          <w:rFonts w:hint="eastAsia" w:cs="宋体"/>
          <w:b w:val="0"/>
          <w:bCs w:val="0"/>
          <w:sz w:val="21"/>
          <w:szCs w:val="21"/>
        </w:rPr>
        <w:t>医院自筹，资金已到位。</w:t>
      </w:r>
      <w:bookmarkEnd w:id="9"/>
    </w:p>
    <w:p>
      <w:pPr>
        <w:pStyle w:val="4"/>
        <w:spacing w:before="0" w:after="0" w:line="560" w:lineRule="exact"/>
        <w:ind w:firstLine="562" w:firstLineChars="200"/>
        <w:rPr>
          <w:rFonts w:cs="宋体"/>
          <w:bCs w:val="0"/>
          <w:sz w:val="28"/>
          <w:szCs w:val="28"/>
        </w:rPr>
      </w:pPr>
      <w:bookmarkStart w:id="10" w:name="_Toc29543162"/>
      <w:r>
        <w:rPr>
          <w:rFonts w:hint="eastAsia" w:cs="宋体"/>
          <w:bCs w:val="0"/>
          <w:sz w:val="28"/>
          <w:szCs w:val="28"/>
        </w:rPr>
        <w:t>三、</w:t>
      </w:r>
      <w:bookmarkEnd w:id="10"/>
      <w:r>
        <w:rPr>
          <w:rFonts w:hint="eastAsia" w:cs="宋体"/>
          <w:bCs w:val="0"/>
          <w:sz w:val="28"/>
          <w:szCs w:val="28"/>
        </w:rPr>
        <w:t>供应商资格要求</w:t>
      </w:r>
    </w:p>
    <w:p>
      <w:pPr>
        <w:spacing w:line="560" w:lineRule="exact"/>
        <w:ind w:firstLine="420" w:firstLineChars="200"/>
        <w:rPr>
          <w:rFonts w:cs="宋体"/>
          <w:szCs w:val="21"/>
        </w:rPr>
      </w:pPr>
      <w:r>
        <w:rPr>
          <w:rFonts w:hint="eastAsia" w:cs="宋体"/>
          <w:szCs w:val="21"/>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（一）一般资格条件</w:t>
      </w:r>
    </w:p>
    <w:p>
      <w:pPr>
        <w:spacing w:line="560" w:lineRule="exact"/>
        <w:ind w:firstLine="420" w:firstLineChars="200"/>
        <w:rPr>
          <w:rFonts w:cs="宋体"/>
          <w:szCs w:val="21"/>
        </w:rPr>
      </w:pPr>
      <w:r>
        <w:rPr>
          <w:rFonts w:hint="eastAsia" w:cs="宋体"/>
          <w:szCs w:val="21"/>
        </w:rPr>
        <w:t>1.具有独立承担民事责任的能力；</w:t>
      </w:r>
    </w:p>
    <w:p>
      <w:pPr>
        <w:spacing w:line="560" w:lineRule="exact"/>
        <w:ind w:firstLine="420" w:firstLineChars="200"/>
        <w:rPr>
          <w:rFonts w:cs="宋体"/>
          <w:szCs w:val="21"/>
        </w:rPr>
      </w:pPr>
      <w:r>
        <w:rPr>
          <w:rFonts w:hint="eastAsia" w:cs="宋体"/>
          <w:szCs w:val="21"/>
        </w:rPr>
        <w:t>2.具有良好的商业信誉和健全的财务会计制度；</w:t>
      </w:r>
    </w:p>
    <w:p>
      <w:pPr>
        <w:spacing w:line="560" w:lineRule="exact"/>
        <w:ind w:firstLine="420" w:firstLineChars="200"/>
        <w:rPr>
          <w:rFonts w:cs="宋体"/>
          <w:szCs w:val="21"/>
        </w:rPr>
      </w:pPr>
      <w:r>
        <w:rPr>
          <w:rFonts w:hint="eastAsia" w:cs="宋体"/>
          <w:szCs w:val="21"/>
        </w:rPr>
        <w:t>3.具有履行合同所必需的设备和专业技术能力；</w:t>
      </w:r>
    </w:p>
    <w:p>
      <w:pPr>
        <w:spacing w:line="560" w:lineRule="exact"/>
        <w:ind w:firstLine="420" w:firstLineChars="200"/>
        <w:rPr>
          <w:rFonts w:cs="宋体"/>
          <w:szCs w:val="21"/>
        </w:rPr>
      </w:pPr>
      <w:r>
        <w:rPr>
          <w:rFonts w:hint="eastAsia" w:cs="宋体"/>
          <w:szCs w:val="21"/>
        </w:rPr>
        <w:t>4.有依法缴纳税收和社会保障资金的良好记录；</w:t>
      </w:r>
    </w:p>
    <w:p>
      <w:pPr>
        <w:spacing w:line="560" w:lineRule="exact"/>
        <w:ind w:firstLine="420" w:firstLineChars="200"/>
        <w:rPr>
          <w:rFonts w:cs="宋体"/>
          <w:szCs w:val="21"/>
        </w:rPr>
      </w:pPr>
      <w:r>
        <w:rPr>
          <w:rFonts w:hint="eastAsia" w:cs="宋体"/>
          <w:szCs w:val="21"/>
        </w:rPr>
        <w:t>5.参加政府采购活动前三年内，在经营活动中没有重大违法记录；</w:t>
      </w:r>
    </w:p>
    <w:p>
      <w:pPr>
        <w:spacing w:line="560" w:lineRule="exact"/>
        <w:ind w:firstLine="420" w:firstLineChars="200"/>
        <w:rPr>
          <w:rFonts w:cs="宋体"/>
          <w:szCs w:val="21"/>
        </w:rPr>
      </w:pPr>
      <w:r>
        <w:rPr>
          <w:rFonts w:hint="eastAsia" w:cs="宋体"/>
          <w:szCs w:val="21"/>
        </w:rPr>
        <w:t>6.法律、行政法规规定的其他条件。</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（二）特定资格条件</w:t>
      </w:r>
    </w:p>
    <w:p>
      <w:pPr>
        <w:spacing w:line="312" w:lineRule="auto"/>
        <w:ind w:firstLine="420" w:firstLineChars="200"/>
        <w:rPr>
          <w:rFonts w:cs="宋体"/>
          <w:szCs w:val="21"/>
        </w:rPr>
      </w:pPr>
      <w:r>
        <w:rPr>
          <w:rFonts w:hint="eastAsia" w:cs="宋体"/>
          <w:szCs w:val="21"/>
        </w:rPr>
        <w:t>1、</w:t>
      </w:r>
      <w:bookmarkStart w:id="11" w:name="_Toc518027871"/>
      <w:r>
        <w:rPr>
          <w:rFonts w:hint="eastAsia" w:cs="宋体"/>
          <w:szCs w:val="21"/>
        </w:rPr>
        <w:t>供应商须具有工商管理部门核发的有效营业执照，经营范围须包括污水处理或环境污染治理（复印件加盖供应商公章）。</w:t>
      </w:r>
      <w:bookmarkEnd w:id="11"/>
    </w:p>
    <w:p>
      <w:pPr>
        <w:spacing w:line="312" w:lineRule="auto"/>
        <w:ind w:firstLine="420" w:firstLineChars="200"/>
        <w:rPr>
          <w:rFonts w:cs="宋体"/>
          <w:szCs w:val="21"/>
        </w:rPr>
      </w:pPr>
      <w:r>
        <w:rPr>
          <w:rFonts w:hint="eastAsia" w:cs="宋体"/>
          <w:szCs w:val="21"/>
        </w:rPr>
        <w:t>2、供应商须具有污染治理设施运行服务能力评价证书（工业废水）三级或环境污染治理服务能力评价证书（废水）乙级及以上资质（提供资质证书复印件加盖鲜章）。</w:t>
      </w:r>
    </w:p>
    <w:p>
      <w:pPr>
        <w:pStyle w:val="4"/>
        <w:spacing w:before="0" w:after="0" w:line="560" w:lineRule="exact"/>
        <w:ind w:firstLine="562" w:firstLineChars="200"/>
        <w:rPr>
          <w:rFonts w:cs="宋体"/>
          <w:bCs w:val="0"/>
          <w:sz w:val="28"/>
          <w:szCs w:val="28"/>
        </w:rPr>
      </w:pPr>
      <w:bookmarkStart w:id="12" w:name="_Toc29543163"/>
      <w:r>
        <w:rPr>
          <w:rFonts w:hint="eastAsia" w:cs="宋体"/>
          <w:bCs w:val="0"/>
          <w:sz w:val="28"/>
          <w:szCs w:val="28"/>
        </w:rPr>
        <w:t>四、有关说明</w:t>
      </w:r>
      <w:bookmarkEnd w:id="7"/>
      <w:bookmarkEnd w:id="12"/>
    </w:p>
    <w:p>
      <w:pPr>
        <w:widowControl/>
        <w:spacing w:line="560" w:lineRule="exact"/>
        <w:ind w:firstLine="420" w:firstLineChars="200"/>
        <w:jc w:val="left"/>
        <w:rPr>
          <w:rFonts w:cs="宋体"/>
          <w:szCs w:val="21"/>
        </w:rPr>
      </w:pPr>
      <w:r>
        <w:rPr>
          <w:rFonts w:hint="eastAsia" w:cs="宋体"/>
          <w:szCs w:val="21"/>
        </w:rPr>
        <w:t>（一）凡有意参加磋商的供应商，请于公告发布之日</w:t>
      </w:r>
      <w:r>
        <w:rPr>
          <w:rFonts w:cs="宋体"/>
          <w:szCs w:val="21"/>
        </w:rPr>
        <w:t>20</w:t>
      </w:r>
      <w:r>
        <w:rPr>
          <w:rFonts w:hint="eastAsia" w:cs="宋体"/>
          <w:szCs w:val="21"/>
        </w:rPr>
        <w:t>21年</w:t>
      </w:r>
      <w:r>
        <w:rPr>
          <w:rFonts w:hint="eastAsia" w:cs="宋体"/>
          <w:szCs w:val="21"/>
          <w:lang w:val="en-US" w:eastAsia="zh-CN"/>
        </w:rPr>
        <w:t>7</w:t>
      </w:r>
      <w:r>
        <w:rPr>
          <w:rFonts w:hint="eastAsia" w:cs="宋体"/>
          <w:szCs w:val="21"/>
        </w:rPr>
        <w:t xml:space="preserve">月 </w:t>
      </w:r>
      <w:r>
        <w:rPr>
          <w:rFonts w:hint="eastAsia" w:cs="宋体"/>
          <w:szCs w:val="21"/>
          <w:lang w:val="en-US" w:eastAsia="zh-CN"/>
        </w:rPr>
        <w:t>20</w:t>
      </w:r>
      <w:r>
        <w:rPr>
          <w:rFonts w:hint="eastAsia" w:cs="宋体"/>
          <w:szCs w:val="21"/>
        </w:rPr>
        <w:t>日起至提交首次响应文件截止时间之前，在重庆市政府采购云平台·服务超市</w:t>
      </w:r>
      <w:r>
        <w:rPr>
          <w:rFonts w:hint="eastAsia" w:cs="宋体"/>
          <w:b/>
          <w:color w:val="FF0000"/>
          <w:szCs w:val="21"/>
        </w:rPr>
        <w:t>（https://chinazhyc.zbj.com/）</w:t>
      </w:r>
      <w:r>
        <w:rPr>
          <w:rFonts w:hint="eastAsia" w:cs="宋体"/>
          <w:szCs w:val="21"/>
        </w:rPr>
        <w:t>或重庆市江北区中医院官网</w:t>
      </w:r>
      <w:r>
        <w:rPr>
          <w:rFonts w:hint="eastAsia" w:cs="宋体"/>
          <w:b/>
          <w:color w:val="FF0000"/>
          <w:szCs w:val="21"/>
        </w:rPr>
        <w:t>（</w:t>
      </w:r>
      <w:r>
        <w:rPr>
          <w:rFonts w:cs="宋体"/>
          <w:b/>
          <w:color w:val="FF0000"/>
          <w:szCs w:val="21"/>
        </w:rPr>
        <w:t>http</w:t>
      </w:r>
      <w:r>
        <w:rPr>
          <w:rFonts w:hint="eastAsia" w:cs="宋体"/>
          <w:b/>
          <w:color w:val="FF0000"/>
          <w:szCs w:val="21"/>
        </w:rPr>
        <w:t>s</w:t>
      </w:r>
      <w:r>
        <w:rPr>
          <w:rFonts w:cs="宋体"/>
          <w:b/>
          <w:color w:val="FF0000"/>
          <w:szCs w:val="21"/>
        </w:rPr>
        <w:t>://www.jbzyy.com</w:t>
      </w:r>
      <w:r>
        <w:rPr>
          <w:rFonts w:hint="eastAsia" w:cs="宋体"/>
          <w:b/>
          <w:color w:val="FF0000"/>
          <w:szCs w:val="21"/>
        </w:rPr>
        <w:t>）</w:t>
      </w:r>
      <w:r>
        <w:rPr>
          <w:rFonts w:hint="eastAsia" w:cs="宋体"/>
          <w:szCs w:val="21"/>
        </w:rPr>
        <w:t>上下载本项目招标文件以及补遗等开标前公布的所有项目资料</w:t>
      </w:r>
      <w:r>
        <w:rPr>
          <w:rFonts w:cs="宋体"/>
          <w:szCs w:val="21"/>
        </w:rPr>
        <w:t>,</w:t>
      </w:r>
      <w:r>
        <w:rPr>
          <w:rFonts w:hint="eastAsia" w:cs="宋体"/>
          <w:szCs w:val="21"/>
        </w:rPr>
        <w:t>无论供应商下载与否，均视为已知晓所有磋商内容。</w:t>
      </w:r>
    </w:p>
    <w:p>
      <w:pPr>
        <w:spacing w:line="560" w:lineRule="exact"/>
        <w:ind w:firstLine="420" w:firstLineChars="200"/>
        <w:rPr>
          <w:rFonts w:cs="宋体"/>
          <w:szCs w:val="21"/>
        </w:rPr>
      </w:pPr>
      <w:r>
        <w:rPr>
          <w:rFonts w:hint="eastAsia" w:cs="宋体"/>
          <w:szCs w:val="21"/>
        </w:rPr>
        <w:t>（二）供应商须满足以下要件，其响应文件才被接受：</w:t>
      </w:r>
    </w:p>
    <w:p>
      <w:pPr>
        <w:spacing w:line="560" w:lineRule="exact"/>
        <w:ind w:firstLine="525" w:firstLineChars="250"/>
        <w:rPr>
          <w:rFonts w:cs="宋体"/>
          <w:szCs w:val="21"/>
        </w:rPr>
      </w:pPr>
      <w:r>
        <w:rPr>
          <w:rFonts w:hint="eastAsia" w:cs="宋体"/>
          <w:szCs w:val="21"/>
        </w:rPr>
        <w:t>1</w:t>
      </w:r>
      <w:r>
        <w:rPr>
          <w:rFonts w:cs="宋体"/>
          <w:szCs w:val="21"/>
        </w:rPr>
        <w:t>.</w:t>
      </w:r>
      <w:r>
        <w:rPr>
          <w:rFonts w:hint="eastAsia" w:cs="宋体"/>
          <w:szCs w:val="21"/>
        </w:rPr>
        <w:t>按时线下递交了响应文件；</w:t>
      </w:r>
    </w:p>
    <w:p>
      <w:pPr>
        <w:spacing w:line="560" w:lineRule="exact"/>
        <w:ind w:firstLine="525" w:firstLineChars="250"/>
        <w:rPr>
          <w:rFonts w:cs="宋体"/>
          <w:szCs w:val="21"/>
        </w:rPr>
      </w:pPr>
      <w:r>
        <w:rPr>
          <w:rFonts w:hint="eastAsia" w:cs="宋体"/>
          <w:szCs w:val="21"/>
        </w:rPr>
        <w:t>2</w:t>
      </w:r>
      <w:r>
        <w:rPr>
          <w:rFonts w:cs="宋体"/>
          <w:szCs w:val="21"/>
        </w:rPr>
        <w:t>.</w:t>
      </w:r>
      <w:r>
        <w:rPr>
          <w:rFonts w:hint="eastAsia" w:cs="宋体"/>
          <w:szCs w:val="21"/>
        </w:rPr>
        <w:t>按时线下报名签到；</w:t>
      </w:r>
    </w:p>
    <w:p>
      <w:pPr>
        <w:spacing w:line="560" w:lineRule="exact"/>
        <w:ind w:firstLine="525" w:firstLineChars="250"/>
        <w:rPr>
          <w:rFonts w:cs="宋体"/>
          <w:szCs w:val="21"/>
        </w:rPr>
      </w:pPr>
      <w:r>
        <w:rPr>
          <w:rFonts w:hint="eastAsia" w:cs="宋体"/>
          <w:szCs w:val="21"/>
        </w:rPr>
        <w:t>3.在重庆市政府采购云平台·服务超市平台线上报名并上传响应文件。</w:t>
      </w:r>
    </w:p>
    <w:p>
      <w:pPr>
        <w:spacing w:line="560" w:lineRule="exact"/>
        <w:ind w:firstLine="420" w:firstLineChars="200"/>
        <w:rPr>
          <w:rFonts w:cs="宋体"/>
          <w:szCs w:val="21"/>
        </w:rPr>
      </w:pPr>
      <w:r>
        <w:rPr>
          <w:rFonts w:hint="eastAsia" w:cs="宋体"/>
          <w:szCs w:val="21"/>
        </w:rPr>
        <w:t>（三）线上报名时间：公告发布之日起至线下提交响应文件截止时间止。</w:t>
      </w:r>
    </w:p>
    <w:p>
      <w:pPr>
        <w:spacing w:line="560" w:lineRule="exact"/>
        <w:ind w:firstLine="420" w:firstLineChars="200"/>
        <w:rPr>
          <w:rFonts w:cs="宋体"/>
          <w:szCs w:val="21"/>
        </w:rPr>
      </w:pPr>
      <w:r>
        <w:rPr>
          <w:rFonts w:hint="eastAsia" w:cs="宋体"/>
          <w:szCs w:val="21"/>
        </w:rPr>
        <w:t>（四）响应文件提交地点：重庆市江北区中医院1号楼2105室</w:t>
      </w:r>
    </w:p>
    <w:p>
      <w:pPr>
        <w:spacing w:line="560" w:lineRule="exact"/>
        <w:ind w:firstLine="420" w:firstLineChars="200"/>
        <w:rPr>
          <w:rFonts w:cs="宋体"/>
          <w:szCs w:val="21"/>
        </w:rPr>
      </w:pPr>
      <w:r>
        <w:rPr>
          <w:rFonts w:hint="eastAsia" w:cs="宋体"/>
          <w:szCs w:val="21"/>
        </w:rPr>
        <w:t>（五）线下提交响应文件开始时间：2021年</w:t>
      </w:r>
      <w:r>
        <w:rPr>
          <w:rFonts w:hint="eastAsia" w:cs="宋体"/>
          <w:szCs w:val="21"/>
          <w:lang w:val="en-US" w:eastAsia="zh-CN"/>
        </w:rPr>
        <w:t>7</w:t>
      </w:r>
      <w:r>
        <w:rPr>
          <w:rFonts w:hint="eastAsia" w:cs="宋体"/>
          <w:szCs w:val="21"/>
        </w:rPr>
        <w:t>月</w:t>
      </w:r>
      <w:r>
        <w:rPr>
          <w:rFonts w:hint="eastAsia" w:cs="宋体"/>
          <w:szCs w:val="21"/>
          <w:lang w:val="en-US" w:eastAsia="zh-CN"/>
        </w:rPr>
        <w:t>27</w:t>
      </w:r>
      <w:r>
        <w:rPr>
          <w:rFonts w:hint="eastAsia" w:cs="宋体"/>
          <w:szCs w:val="21"/>
        </w:rPr>
        <w:t xml:space="preserve"> 日北京时间上午8:30</w:t>
      </w:r>
    </w:p>
    <w:p>
      <w:pPr>
        <w:spacing w:line="560" w:lineRule="exact"/>
        <w:ind w:firstLine="420" w:firstLineChars="200"/>
        <w:rPr>
          <w:rFonts w:cs="宋体"/>
          <w:szCs w:val="21"/>
        </w:rPr>
      </w:pPr>
      <w:r>
        <w:rPr>
          <w:rFonts w:hint="eastAsia" w:cs="宋体"/>
          <w:szCs w:val="21"/>
        </w:rPr>
        <w:t xml:space="preserve">      线下提交响应文件截止时间：2021年</w:t>
      </w:r>
      <w:r>
        <w:rPr>
          <w:rFonts w:hint="eastAsia" w:cs="宋体"/>
          <w:szCs w:val="21"/>
          <w:lang w:val="en-US" w:eastAsia="zh-CN"/>
        </w:rPr>
        <w:t>7</w:t>
      </w:r>
      <w:r>
        <w:rPr>
          <w:rFonts w:hint="eastAsia" w:cs="宋体"/>
          <w:szCs w:val="21"/>
        </w:rPr>
        <w:t>月</w:t>
      </w:r>
      <w:r>
        <w:rPr>
          <w:rFonts w:hint="eastAsia" w:cs="宋体"/>
          <w:szCs w:val="21"/>
          <w:lang w:val="en-US" w:eastAsia="zh-CN"/>
        </w:rPr>
        <w:t>27</w:t>
      </w:r>
      <w:r>
        <w:rPr>
          <w:rFonts w:hint="eastAsia" w:cs="宋体"/>
          <w:szCs w:val="21"/>
        </w:rPr>
        <w:t>日北京时间下午16:00</w:t>
      </w:r>
    </w:p>
    <w:p>
      <w:pPr>
        <w:spacing w:line="560" w:lineRule="exact"/>
        <w:ind w:firstLine="420" w:firstLineChars="200"/>
        <w:rPr>
          <w:rFonts w:cs="宋体"/>
          <w:szCs w:val="21"/>
        </w:rPr>
      </w:pPr>
      <w:r>
        <w:rPr>
          <w:rFonts w:hint="eastAsia" w:cs="宋体"/>
          <w:szCs w:val="21"/>
        </w:rPr>
        <w:t>（六）开标地点：重庆市江北区中医院1号楼21楼会议室</w:t>
      </w:r>
    </w:p>
    <w:p>
      <w:pPr>
        <w:spacing w:line="560" w:lineRule="exact"/>
        <w:ind w:firstLine="420" w:firstLineChars="200"/>
        <w:rPr>
          <w:rFonts w:cs="宋体"/>
          <w:szCs w:val="21"/>
        </w:rPr>
      </w:pPr>
      <w:r>
        <w:rPr>
          <w:rFonts w:hint="eastAsia" w:cs="宋体"/>
          <w:szCs w:val="21"/>
        </w:rPr>
        <w:t>（七）开标时间：2021年</w:t>
      </w:r>
      <w:r>
        <w:rPr>
          <w:rFonts w:hint="eastAsia" w:cs="宋体"/>
          <w:szCs w:val="21"/>
          <w:lang w:val="en-US" w:eastAsia="zh-CN"/>
        </w:rPr>
        <w:t>7</w:t>
      </w:r>
      <w:r>
        <w:rPr>
          <w:rFonts w:hint="eastAsia" w:cs="宋体"/>
          <w:szCs w:val="21"/>
        </w:rPr>
        <w:t>月</w:t>
      </w:r>
      <w:r>
        <w:rPr>
          <w:rFonts w:hint="eastAsia" w:cs="宋体"/>
          <w:szCs w:val="21"/>
          <w:lang w:val="en-US" w:eastAsia="zh-CN"/>
        </w:rPr>
        <w:t>28</w:t>
      </w:r>
      <w:bookmarkStart w:id="76" w:name="_GoBack"/>
      <w:bookmarkEnd w:id="76"/>
      <w:r>
        <w:rPr>
          <w:rFonts w:hint="eastAsia" w:cs="宋体"/>
          <w:szCs w:val="21"/>
        </w:rPr>
        <w:t xml:space="preserve">  日北京时间</w:t>
      </w:r>
      <w:bookmarkEnd w:id="8"/>
      <w:bookmarkStart w:id="13" w:name="_Toc373860294"/>
      <w:bookmarkStart w:id="14" w:name="_Toc521053053"/>
      <w:bookmarkStart w:id="15" w:name="_Toc525047161"/>
      <w:r>
        <w:rPr>
          <w:rFonts w:hint="eastAsia" w:cs="宋体"/>
          <w:szCs w:val="21"/>
        </w:rPr>
        <w:t>下午14:30</w:t>
      </w:r>
    </w:p>
    <w:p>
      <w:pPr>
        <w:spacing w:line="560" w:lineRule="exact"/>
        <w:ind w:firstLine="562" w:firstLineChars="200"/>
        <w:rPr>
          <w:rFonts w:cs="宋体"/>
          <w:b/>
          <w:sz w:val="28"/>
          <w:szCs w:val="28"/>
        </w:rPr>
      </w:pPr>
      <w:r>
        <w:rPr>
          <w:rFonts w:hint="eastAsia" w:cs="宋体"/>
          <w:b/>
          <w:sz w:val="28"/>
          <w:szCs w:val="28"/>
        </w:rPr>
        <w:t>五、履约保证金</w:t>
      </w:r>
      <w:bookmarkEnd w:id="13"/>
      <w:bookmarkEnd w:id="14"/>
      <w:bookmarkEnd w:id="15"/>
    </w:p>
    <w:p>
      <w:pPr>
        <w:snapToGrid w:val="0"/>
        <w:spacing w:line="560" w:lineRule="exact"/>
        <w:ind w:firstLine="420" w:firstLineChars="200"/>
        <w:rPr>
          <w:rFonts w:cs="宋体"/>
          <w:szCs w:val="21"/>
        </w:rPr>
      </w:pPr>
      <w:r>
        <w:rPr>
          <w:rFonts w:hint="eastAsia" w:cs="宋体"/>
          <w:szCs w:val="21"/>
        </w:rPr>
        <w:t>（一）履约保证金：中标金额10%</w:t>
      </w:r>
    </w:p>
    <w:p>
      <w:pPr>
        <w:snapToGrid w:val="0"/>
        <w:spacing w:line="560" w:lineRule="exact"/>
        <w:ind w:firstLine="420" w:firstLineChars="200"/>
        <w:rPr>
          <w:rFonts w:cs="宋体"/>
          <w:szCs w:val="21"/>
        </w:rPr>
      </w:pPr>
      <w:r>
        <w:rPr>
          <w:rFonts w:hint="eastAsia" w:cs="宋体"/>
          <w:szCs w:val="21"/>
        </w:rPr>
        <w:t>履约保证金缴纳与退还：成交人应在接到成交通知后3个工作日内向采购人缴纳中标金额10%履约保证金，未按时缴纳的，采购单位有权取消其中标资格。合同履行完毕并经采购人验收合格后15个工作日内退还履约保证金。</w:t>
      </w:r>
    </w:p>
    <w:p>
      <w:pPr>
        <w:snapToGrid w:val="0"/>
        <w:spacing w:line="560" w:lineRule="exact"/>
        <w:ind w:firstLine="420" w:firstLineChars="200"/>
        <w:rPr>
          <w:rFonts w:cs="宋体"/>
          <w:szCs w:val="21"/>
        </w:rPr>
      </w:pPr>
      <w:r>
        <w:rPr>
          <w:rFonts w:hint="eastAsia" w:cs="宋体"/>
          <w:szCs w:val="21"/>
        </w:rPr>
        <w:t>户名：重庆市江北区中医院</w:t>
      </w:r>
    </w:p>
    <w:p>
      <w:pPr>
        <w:snapToGrid w:val="0"/>
        <w:spacing w:line="560" w:lineRule="exact"/>
        <w:ind w:firstLine="420" w:firstLineChars="200"/>
        <w:rPr>
          <w:rFonts w:cs="宋体"/>
          <w:szCs w:val="21"/>
        </w:rPr>
      </w:pPr>
      <w:r>
        <w:rPr>
          <w:rFonts w:hint="eastAsia" w:cs="宋体"/>
          <w:szCs w:val="21"/>
        </w:rPr>
        <w:t>开户行：建设银行江北蔚蓝世纪支行</w:t>
      </w:r>
    </w:p>
    <w:p>
      <w:pPr>
        <w:snapToGrid w:val="0"/>
        <w:spacing w:line="560" w:lineRule="exact"/>
        <w:ind w:firstLine="420" w:firstLineChars="200"/>
        <w:rPr>
          <w:rFonts w:cs="宋体"/>
          <w:szCs w:val="21"/>
        </w:rPr>
      </w:pPr>
      <w:r>
        <w:rPr>
          <w:rFonts w:hint="eastAsia" w:cs="宋体"/>
          <w:szCs w:val="21"/>
        </w:rPr>
        <w:t>账号：</w:t>
      </w:r>
      <w:r>
        <w:rPr>
          <w:rFonts w:cs="宋体"/>
          <w:szCs w:val="21"/>
        </w:rPr>
        <w:t>50001064000050001684</w:t>
      </w:r>
    </w:p>
    <w:p>
      <w:pPr>
        <w:snapToGrid w:val="0"/>
        <w:spacing w:line="560" w:lineRule="exact"/>
        <w:ind w:firstLine="562" w:firstLineChars="200"/>
        <w:rPr>
          <w:rFonts w:cs="宋体"/>
          <w:b/>
          <w:sz w:val="28"/>
          <w:szCs w:val="28"/>
        </w:rPr>
      </w:pPr>
      <w:r>
        <w:rPr>
          <w:rFonts w:hint="eastAsia" w:cs="宋体"/>
          <w:b/>
          <w:sz w:val="28"/>
          <w:szCs w:val="28"/>
        </w:rPr>
        <w:t>六、投标有关规定</w:t>
      </w:r>
    </w:p>
    <w:p>
      <w:pPr>
        <w:snapToGrid w:val="0"/>
        <w:spacing w:line="560" w:lineRule="exact"/>
        <w:ind w:firstLine="420" w:firstLineChars="200"/>
        <w:rPr>
          <w:rFonts w:cs="宋体"/>
          <w:szCs w:val="21"/>
        </w:rPr>
      </w:pPr>
      <w:r>
        <w:rPr>
          <w:rFonts w:hint="eastAsia" w:cs="宋体"/>
          <w:szCs w:val="21"/>
        </w:rPr>
        <w:t>1、法定代表人为同一个人的两个及两个以上法人，母公司、全资子公司及其控股公司，都不得在同一分包的货物采购中同时参与磋商，否则均为无效磋商。</w:t>
      </w:r>
    </w:p>
    <w:p>
      <w:pPr>
        <w:snapToGrid w:val="0"/>
        <w:spacing w:line="560" w:lineRule="exact"/>
        <w:ind w:firstLine="420" w:firstLineChars="200"/>
        <w:rPr>
          <w:rFonts w:cs="宋体"/>
          <w:szCs w:val="21"/>
        </w:rPr>
      </w:pPr>
      <w:r>
        <w:rPr>
          <w:rFonts w:hint="eastAsia" w:cs="宋体"/>
          <w:szCs w:val="21"/>
        </w:rPr>
        <w:t>2、为采购项目提供整体设计、规范编制或者项目管理、监理、检测等服务的供应商，不得再参加该采购项目的其他采购活动。</w:t>
      </w:r>
    </w:p>
    <w:p>
      <w:pPr>
        <w:snapToGrid w:val="0"/>
        <w:spacing w:line="560" w:lineRule="exact"/>
        <w:ind w:firstLine="420" w:firstLineChars="200"/>
        <w:rPr>
          <w:rFonts w:cs="宋体"/>
          <w:szCs w:val="21"/>
        </w:rPr>
      </w:pPr>
      <w:r>
        <w:rPr>
          <w:rFonts w:hint="eastAsia" w:cs="宋体"/>
          <w:szCs w:val="21"/>
        </w:rPr>
        <w:t>3、超过响应文件截止时间递交的响应文件，恕不接收。</w:t>
      </w:r>
    </w:p>
    <w:p>
      <w:pPr>
        <w:snapToGrid w:val="0"/>
        <w:spacing w:line="560" w:lineRule="exact"/>
        <w:ind w:firstLine="420" w:firstLineChars="200"/>
        <w:rPr>
          <w:rFonts w:cs="宋体"/>
          <w:szCs w:val="21"/>
        </w:rPr>
      </w:pPr>
      <w:r>
        <w:rPr>
          <w:rFonts w:hint="eastAsia" w:cs="宋体"/>
          <w:szCs w:val="21"/>
        </w:rPr>
        <w:t>4、磋商费用：无论磋商结果如何，供应商参与本项目磋商的所有费用均应由供应商自行承担。</w:t>
      </w:r>
    </w:p>
    <w:p>
      <w:pPr>
        <w:snapToGrid w:val="0"/>
        <w:spacing w:line="560" w:lineRule="exact"/>
        <w:ind w:firstLine="420" w:firstLineChars="200"/>
        <w:rPr>
          <w:rFonts w:cs="宋体"/>
          <w:szCs w:val="21"/>
        </w:rPr>
      </w:pPr>
      <w:r>
        <w:rPr>
          <w:rFonts w:hint="eastAsia" w:cs="宋体"/>
          <w:szCs w:val="21"/>
        </w:rPr>
        <w:t>5、列入失信被执行人、重大税收违法案件当事人名单、政府采购严重违法失信行为记录名单等及其他不符合《中华人民共和国政府采购法》第二十二条规定条件的供应商，将拒绝其参与采购活动。</w:t>
      </w:r>
    </w:p>
    <w:p>
      <w:pPr>
        <w:snapToGrid w:val="0"/>
        <w:spacing w:line="560" w:lineRule="exact"/>
        <w:ind w:firstLine="420" w:firstLineChars="200"/>
        <w:rPr>
          <w:rFonts w:cs="宋体"/>
          <w:szCs w:val="21"/>
        </w:rPr>
      </w:pPr>
      <w:r>
        <w:rPr>
          <w:rFonts w:hint="eastAsia" w:cs="宋体"/>
          <w:szCs w:val="21"/>
        </w:rPr>
        <w:t>5.1 供应商可通过信用中国网站</w:t>
      </w:r>
      <w:r>
        <w:rPr>
          <w:rFonts w:hint="eastAsia" w:cs="宋体"/>
          <w:b/>
          <w:color w:val="FF0000"/>
          <w:szCs w:val="21"/>
        </w:rPr>
        <w:t>（www.creditchina.gov.cn）</w:t>
      </w:r>
      <w:r>
        <w:rPr>
          <w:rFonts w:hint="eastAsia" w:cs="宋体"/>
          <w:szCs w:val="21"/>
        </w:rPr>
        <w:t>查询以下内容</w:t>
      </w:r>
    </w:p>
    <w:p>
      <w:pPr>
        <w:snapToGrid w:val="0"/>
        <w:spacing w:line="560" w:lineRule="exact"/>
        <w:ind w:firstLine="420" w:firstLineChars="200"/>
        <w:rPr>
          <w:rFonts w:cs="宋体"/>
          <w:szCs w:val="21"/>
        </w:rPr>
      </w:pPr>
      <w:r>
        <w:rPr>
          <w:rFonts w:hint="eastAsia" w:cs="宋体"/>
          <w:szCs w:val="21"/>
        </w:rPr>
        <w:t>5.1.1“失信被执行人”；</w:t>
      </w:r>
    </w:p>
    <w:p>
      <w:pPr>
        <w:snapToGrid w:val="0"/>
        <w:spacing w:line="560" w:lineRule="exact"/>
        <w:ind w:firstLine="420" w:firstLineChars="200"/>
        <w:rPr>
          <w:rFonts w:cs="宋体"/>
          <w:szCs w:val="21"/>
        </w:rPr>
      </w:pPr>
      <w:r>
        <w:rPr>
          <w:rFonts w:hint="eastAsia" w:cs="宋体"/>
          <w:szCs w:val="21"/>
        </w:rPr>
        <w:t>5.1.2“重大税收违法案件当事人名单”；</w:t>
      </w:r>
    </w:p>
    <w:p>
      <w:pPr>
        <w:snapToGrid w:val="0"/>
        <w:spacing w:line="560" w:lineRule="exact"/>
        <w:ind w:firstLine="420" w:firstLineChars="200"/>
        <w:rPr>
          <w:rFonts w:cs="宋体"/>
          <w:szCs w:val="21"/>
        </w:rPr>
      </w:pPr>
      <w:r>
        <w:rPr>
          <w:rFonts w:hint="eastAsia" w:cs="宋体"/>
          <w:szCs w:val="21"/>
        </w:rPr>
        <w:t>5.1.3“政府采购严重违法失信行为记录名单”</w:t>
      </w:r>
    </w:p>
    <w:p>
      <w:pPr>
        <w:snapToGrid w:val="0"/>
        <w:spacing w:line="560" w:lineRule="exact"/>
        <w:ind w:firstLine="420" w:firstLineChars="200"/>
        <w:rPr>
          <w:rFonts w:cs="宋体"/>
          <w:szCs w:val="21"/>
        </w:rPr>
      </w:pPr>
      <w:r>
        <w:rPr>
          <w:rFonts w:hint="eastAsia" w:cs="宋体"/>
          <w:szCs w:val="21"/>
        </w:rPr>
        <w:t>6.本项目若有补遗文件一律在重庆市政府采购云平台·服务超市（https://chinazhyc.zbj.com/）和重庆市江北区中医院官网（</w:t>
      </w:r>
      <w:r>
        <w:rPr>
          <w:rFonts w:cs="宋体"/>
          <w:szCs w:val="21"/>
        </w:rPr>
        <w:t>http</w:t>
      </w:r>
      <w:r>
        <w:rPr>
          <w:rFonts w:hint="eastAsia" w:cs="宋体"/>
          <w:szCs w:val="21"/>
        </w:rPr>
        <w:t>s</w:t>
      </w:r>
      <w:r>
        <w:rPr>
          <w:rFonts w:cs="宋体"/>
          <w:szCs w:val="21"/>
        </w:rPr>
        <w:t>://www.jbzyy.com</w:t>
      </w:r>
      <w:r>
        <w:rPr>
          <w:rFonts w:hint="eastAsia" w:cs="宋体"/>
          <w:szCs w:val="21"/>
        </w:rPr>
        <w:t>）上发布，请各投标人注意下载，无论投标人是否下载，采购人视同投标人已收到项目补遗文件。</w:t>
      </w:r>
    </w:p>
    <w:p>
      <w:pPr>
        <w:snapToGrid w:val="0"/>
        <w:spacing w:line="560" w:lineRule="exact"/>
        <w:ind w:firstLine="562" w:firstLineChars="200"/>
        <w:rPr>
          <w:rFonts w:cs="宋体"/>
          <w:b/>
          <w:sz w:val="28"/>
          <w:szCs w:val="28"/>
        </w:rPr>
      </w:pPr>
      <w:r>
        <w:rPr>
          <w:rFonts w:hint="eastAsia" w:cs="宋体"/>
          <w:b/>
          <w:sz w:val="28"/>
          <w:szCs w:val="28"/>
        </w:rPr>
        <w:t>七、现场踏勘及技术询问</w:t>
      </w:r>
    </w:p>
    <w:p>
      <w:pPr>
        <w:snapToGrid w:val="0"/>
        <w:spacing w:line="560" w:lineRule="exact"/>
        <w:ind w:firstLine="420" w:firstLineChars="200"/>
        <w:rPr>
          <w:rFonts w:cs="宋体"/>
          <w:szCs w:val="21"/>
        </w:rPr>
      </w:pPr>
      <w:r>
        <w:rPr>
          <w:rFonts w:hint="eastAsia" w:cs="宋体"/>
          <w:szCs w:val="21"/>
        </w:rPr>
        <w:t>投标人需独立踏勘现场，本项目不组织集中踏勘。投标人应踏勘服务现场及周围环境，有技术问题也可向采购人询问，以便获取投标人须自已负责的有关编制投标文件和签署合同所需的所有资料。无论投标人是否踏勘过现场，均视为在递交投标文件之前已经踏勘现场，对本合同项目的风险和义务已经十分了解，并在其投标文件中已充分考虑了现场和环境条件。踏勘现场所发生的费用由投标人自行承担。</w:t>
      </w:r>
    </w:p>
    <w:p>
      <w:pPr>
        <w:snapToGrid w:val="0"/>
        <w:spacing w:line="560" w:lineRule="exact"/>
        <w:ind w:firstLine="562" w:firstLineChars="200"/>
        <w:rPr>
          <w:rFonts w:cs="宋体"/>
          <w:b/>
          <w:sz w:val="28"/>
          <w:szCs w:val="28"/>
        </w:rPr>
      </w:pPr>
      <w:r>
        <w:rPr>
          <w:rFonts w:hint="eastAsia" w:cs="宋体"/>
          <w:b/>
          <w:sz w:val="28"/>
          <w:szCs w:val="28"/>
        </w:rPr>
        <w:t>八、联系方式</w:t>
      </w:r>
    </w:p>
    <w:p>
      <w:pPr>
        <w:snapToGrid w:val="0"/>
        <w:spacing w:line="560" w:lineRule="exact"/>
        <w:ind w:firstLine="420" w:firstLineChars="200"/>
        <w:rPr>
          <w:rFonts w:cs="宋体"/>
          <w:szCs w:val="21"/>
        </w:rPr>
      </w:pPr>
      <w:r>
        <w:rPr>
          <w:rFonts w:hint="eastAsia" w:cs="宋体"/>
          <w:szCs w:val="21"/>
        </w:rPr>
        <w:t>采购人：重庆市江北区中医院</w:t>
      </w:r>
    </w:p>
    <w:p>
      <w:pPr>
        <w:snapToGrid w:val="0"/>
        <w:spacing w:line="560" w:lineRule="exact"/>
        <w:ind w:firstLine="420" w:firstLineChars="200"/>
        <w:rPr>
          <w:rFonts w:cs="宋体"/>
          <w:szCs w:val="21"/>
        </w:rPr>
      </w:pPr>
      <w:r>
        <w:rPr>
          <w:rFonts w:hint="eastAsia" w:cs="宋体"/>
          <w:szCs w:val="21"/>
        </w:rPr>
        <w:t>联系人：尚老师   文老师</w:t>
      </w:r>
    </w:p>
    <w:p>
      <w:pPr>
        <w:snapToGrid w:val="0"/>
        <w:spacing w:line="560" w:lineRule="exact"/>
        <w:ind w:firstLine="420" w:firstLineChars="200"/>
        <w:rPr>
          <w:rFonts w:cs="宋体"/>
          <w:szCs w:val="21"/>
        </w:rPr>
      </w:pPr>
      <w:r>
        <w:rPr>
          <w:rFonts w:hint="eastAsia" w:cs="宋体"/>
          <w:szCs w:val="21"/>
        </w:rPr>
        <w:t>电  话：（023）67739723  67561932</w:t>
      </w:r>
    </w:p>
    <w:p>
      <w:pPr>
        <w:snapToGrid w:val="0"/>
        <w:spacing w:line="560" w:lineRule="exact"/>
        <w:ind w:firstLine="420" w:firstLineChars="200"/>
        <w:rPr>
          <w:rFonts w:cs="宋体"/>
          <w:szCs w:val="21"/>
        </w:rPr>
      </w:pPr>
      <w:r>
        <w:rPr>
          <w:rFonts w:hint="eastAsia" w:cs="宋体"/>
          <w:szCs w:val="21"/>
        </w:rPr>
        <w:t>传  真：（023）67853980</w:t>
      </w:r>
    </w:p>
    <w:p>
      <w:pPr>
        <w:snapToGrid w:val="0"/>
        <w:spacing w:line="560" w:lineRule="exact"/>
        <w:ind w:firstLine="420" w:firstLineChars="200"/>
        <w:rPr>
          <w:rFonts w:cs="宋体"/>
          <w:szCs w:val="21"/>
        </w:rPr>
      </w:pPr>
      <w:r>
        <w:rPr>
          <w:rFonts w:hint="eastAsia" w:cs="宋体"/>
          <w:szCs w:val="21"/>
        </w:rPr>
        <w:t>地  址： 重庆市江北区建新东路一村35号</w:t>
      </w:r>
      <w:bookmarkStart w:id="16" w:name="_Toc102227313"/>
      <w:bookmarkStart w:id="17" w:name="_Toc29543164"/>
    </w:p>
    <w:p>
      <w:pPr>
        <w:pStyle w:val="3"/>
        <w:spacing w:before="0" w:after="0" w:line="560" w:lineRule="exact"/>
        <w:rPr>
          <w:rFonts w:ascii="Times New Roman" w:hAnsi="Times New Roman" w:eastAsia="宋体"/>
          <w:b w:val="0"/>
          <w:bCs w:val="0"/>
          <w:sz w:val="21"/>
          <w:szCs w:val="24"/>
        </w:rPr>
      </w:pPr>
    </w:p>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Pr>
        <w:pStyle w:val="3"/>
        <w:spacing w:before="0" w:after="0" w:line="560" w:lineRule="exact"/>
        <w:jc w:val="center"/>
        <w:rPr>
          <w:rFonts w:ascii="黑体" w:hAnsi="黑体"/>
          <w:b w:val="0"/>
          <w:color w:val="000000" w:themeColor="text1"/>
        </w:rPr>
      </w:pPr>
    </w:p>
    <w:p/>
    <w:p/>
    <w:p>
      <w:pPr>
        <w:pStyle w:val="3"/>
        <w:spacing w:before="0" w:after="0" w:line="560" w:lineRule="exact"/>
        <w:jc w:val="center"/>
        <w:rPr>
          <w:rFonts w:ascii="黑体" w:hAnsi="黑体"/>
          <w:b w:val="0"/>
          <w:color w:val="000000" w:themeColor="text1"/>
        </w:rPr>
      </w:pPr>
      <w:r>
        <w:rPr>
          <w:rFonts w:hint="eastAsia" w:ascii="黑体" w:hAnsi="黑体"/>
          <w:b w:val="0"/>
          <w:color w:val="000000" w:themeColor="text1"/>
        </w:rPr>
        <w:t>第二篇  供应商须知</w:t>
      </w:r>
      <w:bookmarkEnd w:id="16"/>
      <w:bookmarkEnd w:id="17"/>
    </w:p>
    <w:p>
      <w:pPr>
        <w:pStyle w:val="4"/>
        <w:spacing w:before="0" w:after="0" w:line="560" w:lineRule="exact"/>
        <w:ind w:firstLine="562" w:firstLineChars="200"/>
        <w:rPr>
          <w:rFonts w:cs="宋体"/>
          <w:bCs w:val="0"/>
          <w:sz w:val="28"/>
          <w:szCs w:val="28"/>
        </w:rPr>
      </w:pPr>
      <w:bookmarkStart w:id="18" w:name="_Toc342913389"/>
      <w:bookmarkStart w:id="19" w:name="_Toc29543165"/>
      <w:r>
        <w:rPr>
          <w:rFonts w:hint="eastAsia" w:cs="宋体"/>
          <w:bCs w:val="0"/>
          <w:sz w:val="28"/>
          <w:szCs w:val="28"/>
        </w:rPr>
        <w:t>一、磋商费用</w:t>
      </w:r>
      <w:bookmarkEnd w:id="18"/>
      <w:bookmarkEnd w:id="19"/>
    </w:p>
    <w:p>
      <w:pPr>
        <w:pStyle w:val="207"/>
        <w:spacing w:line="560" w:lineRule="exact"/>
        <w:ind w:firstLine="420" w:firstLineChars="200"/>
        <w:rPr>
          <w:rFonts w:ascii="Times New Roman" w:hAnsi="Times New Roman" w:cs="宋体"/>
          <w:szCs w:val="21"/>
        </w:rPr>
      </w:pPr>
      <w:r>
        <w:rPr>
          <w:rFonts w:hint="eastAsia" w:ascii="Times New Roman" w:hAnsi="Times New Roman" w:cs="宋体"/>
          <w:szCs w:val="21"/>
        </w:rPr>
        <w:t>参与磋商的供应商应承担其编制响应文件与递交响应文件所涉及的一切费用，不论磋商结果如何，采购人和采购代理机构在任何情况下无义务也无责任承担这些费用。</w:t>
      </w:r>
    </w:p>
    <w:p>
      <w:pPr>
        <w:pStyle w:val="4"/>
        <w:tabs>
          <w:tab w:val="left" w:pos="2640"/>
        </w:tabs>
        <w:spacing w:before="0" w:after="0" w:line="560" w:lineRule="exact"/>
        <w:ind w:firstLine="562" w:firstLineChars="200"/>
        <w:rPr>
          <w:rFonts w:cs="宋体"/>
          <w:bCs w:val="0"/>
          <w:sz w:val="28"/>
          <w:szCs w:val="28"/>
        </w:rPr>
      </w:pPr>
      <w:bookmarkStart w:id="20" w:name="_Toc342913391"/>
      <w:bookmarkStart w:id="21" w:name="_Toc29543166"/>
      <w:r>
        <w:rPr>
          <w:rFonts w:hint="eastAsia" w:cs="宋体"/>
          <w:bCs w:val="0"/>
          <w:sz w:val="28"/>
          <w:szCs w:val="28"/>
        </w:rPr>
        <w:t>二、竞争性磋商文件</w:t>
      </w:r>
      <w:bookmarkEnd w:id="20"/>
      <w:bookmarkEnd w:id="21"/>
      <w:r>
        <w:rPr>
          <w:rFonts w:hint="eastAsia" w:cs="宋体"/>
          <w:bCs w:val="0"/>
          <w:sz w:val="28"/>
          <w:szCs w:val="28"/>
        </w:rPr>
        <w:tab/>
      </w:r>
    </w:p>
    <w:p>
      <w:pPr>
        <w:snapToGrid w:val="0"/>
        <w:spacing w:line="560" w:lineRule="exact"/>
        <w:ind w:firstLine="315" w:firstLineChars="150"/>
        <w:rPr>
          <w:rFonts w:cs="宋体"/>
          <w:szCs w:val="21"/>
        </w:rPr>
      </w:pPr>
      <w:r>
        <w:rPr>
          <w:rFonts w:hint="eastAsia" w:cs="宋体"/>
          <w:szCs w:val="21"/>
        </w:rPr>
        <w:t>（一）竞争性磋商文件由竞争性磋商邀请书、供应商须知、磋商项目技术需求、磋商项目服务需求、合同草案条款、响应文件格式要求六部分组成。</w:t>
      </w:r>
    </w:p>
    <w:p>
      <w:pPr>
        <w:snapToGrid w:val="0"/>
        <w:spacing w:line="560" w:lineRule="exact"/>
        <w:ind w:firstLine="315" w:firstLineChars="150"/>
        <w:rPr>
          <w:rFonts w:cs="宋体"/>
          <w:szCs w:val="21"/>
        </w:rPr>
      </w:pPr>
      <w:r>
        <w:rPr>
          <w:rFonts w:hint="eastAsia" w:cs="宋体"/>
          <w:szCs w:val="21"/>
        </w:rPr>
        <w:t>（二）采购人（或采购代理机构）所作的一切有效的书面通知、修改及补充，都是竞争性磋商文件不可分割的部分。</w:t>
      </w:r>
    </w:p>
    <w:p>
      <w:pPr>
        <w:pStyle w:val="4"/>
        <w:spacing w:before="0" w:after="0" w:line="560" w:lineRule="exact"/>
        <w:ind w:firstLine="562" w:firstLineChars="200"/>
        <w:rPr>
          <w:rFonts w:cs="宋体"/>
          <w:bCs w:val="0"/>
          <w:sz w:val="28"/>
          <w:szCs w:val="28"/>
        </w:rPr>
      </w:pPr>
      <w:bookmarkStart w:id="22" w:name="_Toc179714297"/>
      <w:bookmarkStart w:id="23" w:name="_Toc342913392"/>
      <w:bookmarkStart w:id="24" w:name="_Toc102227318"/>
      <w:bookmarkStart w:id="25" w:name="_Toc29543167"/>
      <w:r>
        <w:rPr>
          <w:rFonts w:hint="eastAsia" w:cs="宋体"/>
          <w:bCs w:val="0"/>
          <w:sz w:val="28"/>
          <w:szCs w:val="28"/>
        </w:rPr>
        <w:t>三、磋商要求</w:t>
      </w:r>
      <w:bookmarkEnd w:id="22"/>
      <w:bookmarkEnd w:id="23"/>
      <w:bookmarkEnd w:id="24"/>
      <w:bookmarkEnd w:id="25"/>
    </w:p>
    <w:p>
      <w:pPr>
        <w:snapToGrid w:val="0"/>
        <w:spacing w:line="560" w:lineRule="exact"/>
        <w:ind w:firstLine="315" w:firstLineChars="150"/>
        <w:rPr>
          <w:rFonts w:cs="宋体"/>
          <w:szCs w:val="21"/>
        </w:rPr>
      </w:pPr>
      <w:r>
        <w:rPr>
          <w:rFonts w:hint="eastAsia" w:cs="宋体"/>
          <w:szCs w:val="21"/>
        </w:rPr>
        <w:t>（一）响应文件</w:t>
      </w:r>
    </w:p>
    <w:p>
      <w:pPr>
        <w:spacing w:line="560" w:lineRule="exact"/>
        <w:ind w:firstLine="420" w:firstLineChars="200"/>
      </w:pPr>
      <w:r>
        <w:rPr>
          <w:rFonts w:hint="eastAsia" w:cs="宋体"/>
          <w:szCs w:val="21"/>
        </w:rPr>
        <w:t>供应商应当按照竞争性磋商文件的要求编制响应文件，并对竞争性磋商文件提出的要求和条件作出实质性响应，响应文件原则上采用软面订本。</w:t>
      </w:r>
      <w:r>
        <w:t>电子文档内容应与纸质文件正本、副本一致，如不一致以提交的纸质档为准</w:t>
      </w:r>
      <w:r>
        <w:rPr>
          <w:rFonts w:hint="eastAsia"/>
        </w:rPr>
        <w:t>。</w:t>
      </w:r>
    </w:p>
    <w:p>
      <w:pPr>
        <w:spacing w:line="560" w:lineRule="exact"/>
        <w:ind w:firstLine="420" w:firstLineChars="200"/>
        <w:rPr>
          <w:rFonts w:cs="宋体"/>
          <w:szCs w:val="21"/>
        </w:rPr>
      </w:pPr>
      <w:r>
        <w:rPr>
          <w:rFonts w:hint="eastAsia" w:cs="宋体"/>
          <w:szCs w:val="21"/>
        </w:rPr>
        <w:t>1.响应文件组成</w:t>
      </w:r>
    </w:p>
    <w:p>
      <w:pPr>
        <w:spacing w:line="560" w:lineRule="exact"/>
        <w:ind w:firstLine="420" w:firstLineChars="200"/>
        <w:rPr>
          <w:rFonts w:cs="宋体"/>
          <w:szCs w:val="21"/>
        </w:rPr>
      </w:pPr>
      <w:r>
        <w:rPr>
          <w:rFonts w:hint="eastAsia" w:cs="宋体"/>
          <w:szCs w:val="21"/>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pPr>
        <w:spacing w:line="560" w:lineRule="exact"/>
        <w:ind w:firstLine="420" w:firstLineChars="200"/>
        <w:rPr>
          <w:rFonts w:cs="宋体"/>
          <w:szCs w:val="21"/>
        </w:rPr>
      </w:pPr>
      <w:r>
        <w:rPr>
          <w:rFonts w:hint="eastAsia" w:cs="宋体"/>
          <w:szCs w:val="21"/>
        </w:rPr>
        <w:t>2.磋商有效期：响应文件及有关承诺文件有效期为磋商开始时间起90天。</w:t>
      </w:r>
    </w:p>
    <w:p>
      <w:pPr>
        <w:spacing w:line="560" w:lineRule="exact"/>
        <w:ind w:firstLine="420" w:firstLineChars="200"/>
        <w:rPr>
          <w:rFonts w:cs="宋体"/>
          <w:color w:val="FF0000"/>
          <w:szCs w:val="21"/>
        </w:rPr>
      </w:pPr>
      <w:r>
        <w:rPr>
          <w:rFonts w:hint="eastAsia" w:cs="宋体"/>
          <w:color w:val="FF0000"/>
          <w:szCs w:val="21"/>
        </w:rPr>
        <w:t>3.本采购项目不接受联合体投标。</w:t>
      </w:r>
    </w:p>
    <w:p>
      <w:pPr>
        <w:snapToGrid w:val="0"/>
        <w:spacing w:line="560" w:lineRule="exact"/>
        <w:ind w:firstLine="315" w:firstLineChars="150"/>
        <w:rPr>
          <w:rFonts w:cs="宋体"/>
          <w:szCs w:val="21"/>
        </w:rPr>
      </w:pPr>
      <w:r>
        <w:rPr>
          <w:rFonts w:hint="eastAsia" w:cs="宋体"/>
          <w:szCs w:val="21"/>
        </w:rPr>
        <w:t>（二）修正错误</w:t>
      </w:r>
    </w:p>
    <w:p>
      <w:pPr>
        <w:spacing w:line="560" w:lineRule="exact"/>
        <w:ind w:firstLine="420" w:firstLineChars="200"/>
        <w:rPr>
          <w:rFonts w:cs="宋体"/>
          <w:szCs w:val="21"/>
        </w:rPr>
      </w:pPr>
      <w:r>
        <w:rPr>
          <w:rFonts w:hint="eastAsia" w:cs="宋体"/>
          <w:szCs w:val="21"/>
        </w:rPr>
        <w:t>若供应商所递交的响应文件或最后报价中的价格出现大写金额和小写金额不一致的错误，以大写金额修正为准。</w:t>
      </w:r>
    </w:p>
    <w:p>
      <w:pPr>
        <w:spacing w:line="560" w:lineRule="exact"/>
        <w:ind w:firstLine="420" w:firstLineChars="200"/>
        <w:rPr>
          <w:rFonts w:cs="宋体"/>
          <w:szCs w:val="21"/>
        </w:rPr>
      </w:pPr>
      <w:r>
        <w:rPr>
          <w:rFonts w:hint="eastAsia" w:cs="宋体"/>
          <w:szCs w:val="21"/>
        </w:rPr>
        <w:t>磋商小组按上述修正错误的原则及方法修正供应商的报价，供应商同意并签字确认后，修正后的报价对供应商具有约束作用。如果供应商不接受修正后的价格，将保留供应商投标人身份，但将失去成为成交供应商的资格。</w:t>
      </w:r>
    </w:p>
    <w:p>
      <w:pPr>
        <w:snapToGrid w:val="0"/>
        <w:spacing w:line="560" w:lineRule="exact"/>
        <w:ind w:firstLine="315" w:firstLineChars="150"/>
        <w:rPr>
          <w:rFonts w:cs="宋体"/>
          <w:szCs w:val="21"/>
        </w:rPr>
      </w:pPr>
      <w:r>
        <w:rPr>
          <w:rFonts w:hint="eastAsia" w:cs="宋体"/>
          <w:szCs w:val="21"/>
        </w:rPr>
        <w:t>（四）报价要求</w:t>
      </w:r>
    </w:p>
    <w:p>
      <w:pPr>
        <w:ind w:firstLine="323" w:firstLineChars="154"/>
        <w:rPr>
          <w:rFonts w:cs="宋体"/>
          <w:szCs w:val="21"/>
        </w:rPr>
      </w:pPr>
      <w:r>
        <w:rPr>
          <w:rFonts w:hint="eastAsia" w:cs="宋体"/>
          <w:szCs w:val="21"/>
        </w:rPr>
        <w:t>1. 本次报价须为人民币报价。本次报价包含：本项目所需的全部成本、人工费、运输装卸费、保险费、机具使用费、含污水处理药剂、辅料、人工费（含五险）、设施设备的日常维护及维修材料（单件设备500元（含500）以内的零部件不收材料费及人工费，由供应商承担。500元以上的超出部分经采购人许可后凭发票由采购人承担）等全部费用、税费等履行完本项目的所有费用， 因供应商自身原因造成漏报、少报皆由其自行承担责任，采购人不再补偿。</w:t>
      </w:r>
    </w:p>
    <w:p>
      <w:pPr>
        <w:snapToGrid w:val="0"/>
        <w:spacing w:line="560" w:lineRule="exact"/>
        <w:ind w:firstLine="315" w:firstLineChars="150"/>
        <w:rPr>
          <w:rFonts w:cs="宋体"/>
          <w:szCs w:val="21"/>
        </w:rPr>
      </w:pPr>
      <w:r>
        <w:rPr>
          <w:rFonts w:hint="eastAsia" w:cs="宋体"/>
          <w:szCs w:val="21"/>
        </w:rPr>
        <w:t>（五）提交响应文件的份数和签署</w:t>
      </w:r>
    </w:p>
    <w:p>
      <w:pPr>
        <w:snapToGrid w:val="0"/>
        <w:spacing w:line="560" w:lineRule="exact"/>
        <w:ind w:firstLine="420" w:firstLineChars="200"/>
        <w:rPr>
          <w:rFonts w:cs="宋体"/>
          <w:szCs w:val="21"/>
        </w:rPr>
      </w:pPr>
      <w:r>
        <w:rPr>
          <w:rFonts w:hint="eastAsia" w:cs="宋体"/>
          <w:szCs w:val="21"/>
        </w:rPr>
        <w:t>1.响应文件一式二份，其中正本一份，副本一份，副本可为正本的复印件，应与正本一致，如出现不一致情况以正本为准。</w:t>
      </w:r>
    </w:p>
    <w:p>
      <w:pPr>
        <w:snapToGrid w:val="0"/>
        <w:spacing w:line="560" w:lineRule="exact"/>
        <w:ind w:firstLine="420" w:firstLineChars="200"/>
        <w:rPr>
          <w:rFonts w:cs="宋体"/>
          <w:szCs w:val="21"/>
        </w:rPr>
      </w:pPr>
      <w:r>
        <w:rPr>
          <w:rFonts w:hint="eastAsia" w:cs="宋体"/>
          <w:szCs w:val="21"/>
        </w:rPr>
        <w:t>2.</w:t>
      </w:r>
      <w:r>
        <w:rPr>
          <w:rFonts w:hint="eastAsia" w:cs="宋体"/>
          <w:b/>
          <w:szCs w:val="21"/>
        </w:rPr>
        <w:t>在响应文件正本中应逐页盖章</w:t>
      </w:r>
      <w:r>
        <w:rPr>
          <w:rFonts w:hint="eastAsia" w:cs="宋体"/>
          <w:szCs w:val="21"/>
        </w:rPr>
        <w:t>，竞争性磋商文件第六篇响应文件格式中规定签字、盖章的地方必须按其规定签字、盖章。</w:t>
      </w:r>
    </w:p>
    <w:p>
      <w:pPr>
        <w:snapToGrid w:val="0"/>
        <w:spacing w:line="560" w:lineRule="exact"/>
        <w:ind w:firstLine="420" w:firstLineChars="200"/>
        <w:rPr>
          <w:rFonts w:cs="宋体"/>
          <w:szCs w:val="21"/>
        </w:rPr>
      </w:pPr>
      <w:r>
        <w:rPr>
          <w:rFonts w:hint="eastAsia" w:cs="宋体"/>
          <w:szCs w:val="21"/>
        </w:rPr>
        <w:t>3.若供应商对响应文件的错处作必要修改，则应在修改处加盖供应商公章或由法定代表人或法定代表人授权代表签字确认。</w:t>
      </w:r>
    </w:p>
    <w:p>
      <w:pPr>
        <w:snapToGrid w:val="0"/>
        <w:spacing w:line="560" w:lineRule="exact"/>
        <w:ind w:firstLine="420" w:firstLineChars="200"/>
        <w:rPr>
          <w:rFonts w:cs="宋体"/>
          <w:szCs w:val="21"/>
        </w:rPr>
      </w:pPr>
      <w:r>
        <w:rPr>
          <w:rFonts w:hint="eastAsia" w:cs="宋体"/>
          <w:szCs w:val="21"/>
        </w:rPr>
        <w:t>4.电报、电话、传真形式的响应文件概不接受。</w:t>
      </w:r>
    </w:p>
    <w:p>
      <w:pPr>
        <w:snapToGrid w:val="0"/>
        <w:spacing w:line="560" w:lineRule="exact"/>
        <w:ind w:firstLine="315" w:firstLineChars="150"/>
        <w:rPr>
          <w:rFonts w:cs="宋体"/>
          <w:szCs w:val="21"/>
        </w:rPr>
      </w:pPr>
      <w:r>
        <w:rPr>
          <w:rFonts w:hint="eastAsia" w:cs="宋体"/>
          <w:szCs w:val="21"/>
        </w:rPr>
        <w:t>（六）响应文件的递交</w:t>
      </w:r>
    </w:p>
    <w:p>
      <w:pPr>
        <w:pStyle w:val="30"/>
        <w:spacing w:line="560" w:lineRule="exact"/>
        <w:ind w:firstLine="420" w:firstLineChars="200"/>
        <w:rPr>
          <w:rFonts w:ascii="Times New Roman" w:hAnsi="Times New Roman" w:cs="宋体"/>
          <w:szCs w:val="21"/>
        </w:rPr>
      </w:pPr>
      <w:r>
        <w:rPr>
          <w:rFonts w:hint="eastAsia" w:ascii="Times New Roman" w:hAnsi="Times New Roman" w:cs="宋体"/>
          <w:szCs w:val="21"/>
        </w:rPr>
        <w:t>1.响应文件的密封与标记</w:t>
      </w:r>
    </w:p>
    <w:p>
      <w:pPr>
        <w:pStyle w:val="30"/>
        <w:spacing w:line="560" w:lineRule="exact"/>
        <w:ind w:firstLine="420" w:firstLineChars="200"/>
        <w:rPr>
          <w:rFonts w:ascii="Times New Roman" w:hAnsi="Times New Roman" w:cs="宋体"/>
          <w:szCs w:val="21"/>
        </w:rPr>
      </w:pPr>
      <w:r>
        <w:rPr>
          <w:rFonts w:hint="eastAsia" w:ascii="Times New Roman" w:hAnsi="Times New Roman" w:cs="宋体"/>
          <w:szCs w:val="21"/>
        </w:rPr>
        <w:t>1.1响应文件的正本、副本均应密封送达制定地点，应在封套上注明项目名称、供应商名称。若正本、副本分别进行密封的，还应在封套上注明“正本”、“副本”字样。</w:t>
      </w:r>
    </w:p>
    <w:p>
      <w:pPr>
        <w:pStyle w:val="30"/>
        <w:spacing w:line="560" w:lineRule="exact"/>
        <w:ind w:firstLine="420" w:firstLineChars="200"/>
        <w:rPr>
          <w:rFonts w:ascii="Times New Roman" w:hAnsi="Times New Roman" w:cs="宋体"/>
          <w:szCs w:val="21"/>
        </w:rPr>
      </w:pPr>
      <w:r>
        <w:rPr>
          <w:rFonts w:hint="eastAsia" w:ascii="Times New Roman" w:hAnsi="Times New Roman" w:cs="宋体"/>
          <w:szCs w:val="21"/>
        </w:rPr>
        <w:t>1.2封套的封口处应加盖供应商公章或由法定代表人授权代表签字。</w:t>
      </w:r>
    </w:p>
    <w:p>
      <w:pPr>
        <w:snapToGrid w:val="0"/>
        <w:spacing w:line="560" w:lineRule="exact"/>
        <w:ind w:firstLine="315" w:firstLineChars="150"/>
        <w:rPr>
          <w:rFonts w:cs="宋体"/>
          <w:szCs w:val="21"/>
        </w:rPr>
      </w:pPr>
      <w:r>
        <w:rPr>
          <w:rFonts w:hint="eastAsia" w:cs="宋体"/>
          <w:szCs w:val="21"/>
        </w:rPr>
        <w:t>（七）供应商参与人员</w:t>
      </w:r>
    </w:p>
    <w:p>
      <w:pPr>
        <w:snapToGrid w:val="0"/>
        <w:spacing w:line="560" w:lineRule="exact"/>
        <w:ind w:firstLine="420" w:firstLineChars="200"/>
        <w:rPr>
          <w:rFonts w:cs="宋体"/>
          <w:szCs w:val="21"/>
        </w:rPr>
      </w:pPr>
      <w:r>
        <w:rPr>
          <w:rFonts w:hint="eastAsia" w:cs="宋体"/>
          <w:szCs w:val="21"/>
        </w:rPr>
        <w:t>各供应商应当派1-2名代表参与磋商，至少1人应为法定代表人或具有法定代表人授权委托书的授权代表。</w:t>
      </w:r>
    </w:p>
    <w:p>
      <w:pPr>
        <w:snapToGrid w:val="0"/>
        <w:spacing w:line="560" w:lineRule="exact"/>
        <w:ind w:firstLine="315" w:firstLineChars="150"/>
        <w:rPr>
          <w:rFonts w:cs="宋体"/>
          <w:szCs w:val="21"/>
        </w:rPr>
      </w:pPr>
      <w:r>
        <w:rPr>
          <w:rFonts w:hint="eastAsia" w:cs="宋体"/>
          <w:szCs w:val="21"/>
        </w:rPr>
        <w:t>（八）无效磋商</w:t>
      </w:r>
    </w:p>
    <w:p>
      <w:pPr>
        <w:snapToGrid w:val="0"/>
        <w:spacing w:line="560" w:lineRule="exact"/>
        <w:ind w:firstLine="420" w:firstLineChars="200"/>
        <w:rPr>
          <w:rFonts w:cs="宋体"/>
          <w:szCs w:val="21"/>
        </w:rPr>
      </w:pPr>
      <w:r>
        <w:rPr>
          <w:rFonts w:hint="eastAsia" w:cs="宋体"/>
          <w:szCs w:val="21"/>
        </w:rPr>
        <w:t>供应商发生以下条款情况之一者，视为无效磋商，其响应文件将被拒绝：</w:t>
      </w:r>
    </w:p>
    <w:p>
      <w:pPr>
        <w:snapToGrid w:val="0"/>
        <w:spacing w:line="560" w:lineRule="exact"/>
        <w:ind w:firstLine="420" w:firstLineChars="200"/>
        <w:rPr>
          <w:rFonts w:cs="宋体"/>
          <w:szCs w:val="21"/>
        </w:rPr>
      </w:pPr>
      <w:r>
        <w:rPr>
          <w:rFonts w:hint="eastAsia" w:cs="宋体"/>
          <w:szCs w:val="21"/>
        </w:rPr>
        <w:t>1.供应商不符合规定的基本资格条件或特定资格条件的；</w:t>
      </w:r>
    </w:p>
    <w:p>
      <w:pPr>
        <w:snapToGrid w:val="0"/>
        <w:spacing w:line="560" w:lineRule="exact"/>
        <w:ind w:firstLine="420" w:firstLineChars="200"/>
        <w:rPr>
          <w:rFonts w:cs="宋体"/>
          <w:szCs w:val="21"/>
        </w:rPr>
      </w:pPr>
      <w:r>
        <w:rPr>
          <w:rFonts w:hint="eastAsia" w:cs="宋体"/>
          <w:szCs w:val="21"/>
        </w:rPr>
        <w:t>2.供应商的法定代表人或其授权代表未参加磋商；</w:t>
      </w:r>
    </w:p>
    <w:p>
      <w:pPr>
        <w:snapToGrid w:val="0"/>
        <w:spacing w:line="560" w:lineRule="exact"/>
        <w:ind w:firstLine="420" w:firstLineChars="200"/>
        <w:rPr>
          <w:rFonts w:cs="宋体"/>
          <w:szCs w:val="21"/>
        </w:rPr>
      </w:pPr>
      <w:r>
        <w:rPr>
          <w:rFonts w:hint="eastAsia" w:cs="宋体"/>
          <w:szCs w:val="21"/>
        </w:rPr>
        <w:t>3.供应商所提交的响应文件不按规定签字、盖章的；</w:t>
      </w:r>
    </w:p>
    <w:p>
      <w:pPr>
        <w:snapToGrid w:val="0"/>
        <w:spacing w:line="560" w:lineRule="exact"/>
        <w:ind w:firstLine="420" w:firstLineChars="200"/>
        <w:rPr>
          <w:rFonts w:cs="宋体"/>
          <w:szCs w:val="21"/>
        </w:rPr>
      </w:pPr>
      <w:r>
        <w:rPr>
          <w:rFonts w:hint="eastAsia" w:cs="宋体"/>
          <w:szCs w:val="21"/>
        </w:rPr>
        <w:t>4.供应商的最后报价超过采购预算或最高限价的；</w:t>
      </w:r>
    </w:p>
    <w:p>
      <w:pPr>
        <w:snapToGrid w:val="0"/>
        <w:spacing w:line="560" w:lineRule="exact"/>
        <w:ind w:firstLine="420" w:firstLineChars="200"/>
        <w:rPr>
          <w:rFonts w:cs="宋体"/>
          <w:szCs w:val="21"/>
        </w:rPr>
      </w:pPr>
      <w:r>
        <w:rPr>
          <w:rFonts w:hint="eastAsia" w:cs="宋体"/>
          <w:szCs w:val="21"/>
        </w:rPr>
        <w:t>5.供应商响应文件内容有与国家现行法律法规相违背的内容，或附有采购人无法接受条件的。</w:t>
      </w:r>
    </w:p>
    <w:p>
      <w:pPr>
        <w:snapToGrid w:val="0"/>
        <w:spacing w:line="560" w:lineRule="exact"/>
        <w:ind w:firstLine="420" w:firstLineChars="200"/>
        <w:rPr>
          <w:rFonts w:cs="宋体"/>
          <w:szCs w:val="21"/>
        </w:rPr>
      </w:pPr>
      <w:r>
        <w:rPr>
          <w:rFonts w:hint="eastAsia" w:cs="宋体"/>
          <w:szCs w:val="21"/>
        </w:rPr>
        <w:t>6.单位负责人为同一人或者存在直接控股、管理关系的不同供应商，参加同一合同项（分包）下采购活动的；</w:t>
      </w:r>
    </w:p>
    <w:p>
      <w:pPr>
        <w:snapToGrid w:val="0"/>
        <w:spacing w:line="560" w:lineRule="exact"/>
        <w:ind w:firstLine="420" w:firstLineChars="200"/>
        <w:rPr>
          <w:rFonts w:cs="宋体"/>
          <w:szCs w:val="21"/>
        </w:rPr>
      </w:pPr>
      <w:r>
        <w:rPr>
          <w:rFonts w:hint="eastAsia" w:cs="宋体"/>
          <w:szCs w:val="21"/>
        </w:rPr>
        <w:t>7.为采购项目提供整体设计、规范编制或者项目管理、监理、检测等服务的供应商再参加该采购项目的其他采购活动的；</w:t>
      </w:r>
    </w:p>
    <w:p>
      <w:pPr>
        <w:snapToGrid w:val="0"/>
        <w:spacing w:line="560" w:lineRule="exact"/>
        <w:ind w:firstLine="420" w:firstLineChars="200"/>
        <w:rPr>
          <w:rFonts w:cs="宋体"/>
          <w:szCs w:val="21"/>
        </w:rPr>
      </w:pPr>
      <w:r>
        <w:rPr>
          <w:rFonts w:hint="eastAsia" w:cs="宋体"/>
          <w:szCs w:val="21"/>
        </w:rPr>
        <w:t>8.供应商以联合体形式参与投标的。</w:t>
      </w:r>
    </w:p>
    <w:p>
      <w:pPr>
        <w:snapToGrid w:val="0"/>
        <w:spacing w:line="560" w:lineRule="exact"/>
        <w:ind w:firstLine="420" w:firstLineChars="200"/>
        <w:rPr>
          <w:rFonts w:cs="宋体"/>
          <w:szCs w:val="21"/>
        </w:rPr>
      </w:pPr>
      <w:r>
        <w:rPr>
          <w:rFonts w:hint="eastAsia" w:cs="宋体"/>
          <w:szCs w:val="21"/>
        </w:rPr>
        <w:t>9.供应商如磋商时不能解答磋商文件的技术问题，视为无效磋商。</w:t>
      </w:r>
    </w:p>
    <w:p>
      <w:pPr>
        <w:pStyle w:val="4"/>
        <w:spacing w:before="0" w:after="0" w:line="560" w:lineRule="exact"/>
        <w:ind w:firstLine="562" w:firstLineChars="200"/>
        <w:rPr>
          <w:rFonts w:cs="宋体"/>
          <w:bCs w:val="0"/>
          <w:sz w:val="28"/>
          <w:szCs w:val="28"/>
        </w:rPr>
      </w:pPr>
      <w:bookmarkStart w:id="26" w:name="_Toc29543168"/>
      <w:bookmarkStart w:id="27" w:name="_Toc342913393"/>
      <w:bookmarkStart w:id="28" w:name="_Toc179714298"/>
      <w:bookmarkStart w:id="29" w:name="_Toc102227319"/>
      <w:r>
        <w:rPr>
          <w:rFonts w:hint="eastAsia" w:cs="宋体"/>
          <w:bCs w:val="0"/>
          <w:sz w:val="28"/>
          <w:szCs w:val="28"/>
        </w:rPr>
        <w:t>四、磋商程序</w:t>
      </w:r>
      <w:bookmarkEnd w:id="26"/>
      <w:bookmarkEnd w:id="27"/>
      <w:bookmarkEnd w:id="28"/>
      <w:bookmarkEnd w:id="29"/>
    </w:p>
    <w:p>
      <w:pPr>
        <w:spacing w:line="560" w:lineRule="exact"/>
        <w:ind w:firstLine="315" w:firstLineChars="150"/>
        <w:rPr>
          <w:rFonts w:cs="宋体"/>
          <w:szCs w:val="21"/>
        </w:rPr>
      </w:pPr>
      <w:r>
        <w:rPr>
          <w:rFonts w:hint="eastAsia" w:cs="宋体"/>
          <w:szCs w:val="21"/>
        </w:rPr>
        <w:t>（一）按竞争性磋商文件规定的时间和地点进行。供应商须有法定代表人或其授权代表参加并签到。</w:t>
      </w:r>
    </w:p>
    <w:p>
      <w:pPr>
        <w:spacing w:line="560" w:lineRule="exact"/>
        <w:ind w:firstLine="315" w:firstLineChars="150"/>
        <w:rPr>
          <w:rFonts w:cs="宋体"/>
          <w:szCs w:val="21"/>
        </w:rPr>
      </w:pPr>
      <w:r>
        <w:rPr>
          <w:rFonts w:hint="eastAsia" w:cs="宋体"/>
          <w:szCs w:val="21"/>
        </w:rPr>
        <w:t xml:space="preserve">（二）在正式评审前，对各供应商的资格条件、响应文件的有效性、完整性和响应程度进行审查，各供应商只有在完全符合磋商文件要求的前提下，才能参与正式评审，审查的内容如下： </w:t>
      </w:r>
    </w:p>
    <w:p>
      <w:pPr>
        <w:snapToGrid w:val="0"/>
        <w:spacing w:line="560" w:lineRule="exact"/>
        <w:ind w:firstLine="420" w:firstLineChars="200"/>
        <w:rPr>
          <w:rFonts w:cs="宋体"/>
          <w:szCs w:val="21"/>
        </w:rPr>
      </w:pPr>
      <w:r>
        <w:rPr>
          <w:rFonts w:hint="eastAsia" w:cs="宋体"/>
          <w:szCs w:val="21"/>
        </w:rPr>
        <w:t>1.资格性检查。依据法律法规和竞争性磋商文件的规定，对响应文件中的资格证明等进行审查，以确定供应商是否具备磋商资格。资格性检查资料表如下：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67"/>
        <w:gridCol w:w="2268"/>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60" w:lineRule="exact"/>
              <w:jc w:val="center"/>
              <w:rPr>
                <w:rFonts w:ascii="方正仿宋_GBK" w:hAnsi="仿宋" w:eastAsia="方正仿宋_GBK" w:cs="宋体"/>
                <w:color w:val="000000" w:themeColor="text1"/>
                <w:kern w:val="0"/>
                <w:szCs w:val="28"/>
              </w:rPr>
            </w:pPr>
            <w:r>
              <w:rPr>
                <w:rFonts w:hint="eastAsia" w:ascii="方正仿宋_GBK" w:hAnsi="仿宋" w:eastAsia="方正仿宋_GBK" w:cs="宋体"/>
                <w:color w:val="000000" w:themeColor="text1"/>
                <w:kern w:val="0"/>
                <w:szCs w:val="28"/>
              </w:rPr>
              <w:t>序号</w:t>
            </w:r>
          </w:p>
        </w:tc>
        <w:tc>
          <w:tcPr>
            <w:tcW w:w="2835" w:type="dxa"/>
            <w:gridSpan w:val="2"/>
            <w:vAlign w:val="center"/>
          </w:tcPr>
          <w:p>
            <w:pPr>
              <w:spacing w:line="560" w:lineRule="exact"/>
              <w:jc w:val="center"/>
              <w:rPr>
                <w:rFonts w:ascii="方正仿宋_GBK" w:hAnsi="仿宋" w:eastAsia="方正仿宋_GBK" w:cs="宋体"/>
                <w:color w:val="000000" w:themeColor="text1"/>
                <w:kern w:val="0"/>
                <w:szCs w:val="28"/>
              </w:rPr>
            </w:pPr>
            <w:r>
              <w:rPr>
                <w:rFonts w:hint="eastAsia" w:ascii="方正仿宋_GBK" w:hAnsi="仿宋" w:eastAsia="方正仿宋_GBK" w:cs="宋体"/>
                <w:color w:val="000000" w:themeColor="text1"/>
                <w:kern w:val="0"/>
                <w:szCs w:val="28"/>
              </w:rPr>
              <w:t>检查因素</w:t>
            </w:r>
          </w:p>
        </w:tc>
        <w:tc>
          <w:tcPr>
            <w:tcW w:w="5976" w:type="dxa"/>
            <w:vAlign w:val="center"/>
          </w:tcPr>
          <w:p>
            <w:pPr>
              <w:spacing w:line="560" w:lineRule="exact"/>
              <w:jc w:val="center"/>
              <w:rPr>
                <w:rFonts w:ascii="方正仿宋_GBK" w:hAnsi="仿宋" w:eastAsia="方正仿宋_GBK" w:cs="宋体"/>
                <w:color w:val="000000" w:themeColor="text1"/>
                <w:kern w:val="0"/>
                <w:szCs w:val="28"/>
              </w:rPr>
            </w:pPr>
            <w:r>
              <w:rPr>
                <w:rFonts w:hint="eastAsia" w:ascii="方正仿宋_GBK" w:hAnsi="仿宋" w:eastAsia="方正仿宋_GBK" w:cs="宋体"/>
                <w:color w:val="000000" w:themeColor="text1"/>
                <w:kern w:val="0"/>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spacing w:line="560" w:lineRule="exact"/>
              <w:jc w:val="center"/>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1</w:t>
            </w:r>
          </w:p>
        </w:tc>
        <w:tc>
          <w:tcPr>
            <w:tcW w:w="567" w:type="dxa"/>
            <w:vMerge w:val="restart"/>
            <w:vAlign w:val="center"/>
          </w:tcPr>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供</w:t>
            </w:r>
          </w:p>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应</w:t>
            </w:r>
          </w:p>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商</w:t>
            </w:r>
          </w:p>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基</w:t>
            </w:r>
          </w:p>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本</w:t>
            </w:r>
          </w:p>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资</w:t>
            </w:r>
          </w:p>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格</w:t>
            </w:r>
          </w:p>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条</w:t>
            </w:r>
          </w:p>
          <w:p>
            <w:pPr>
              <w:spacing w:line="560" w:lineRule="exact"/>
              <w:jc w:val="center"/>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件</w:t>
            </w:r>
          </w:p>
        </w:tc>
        <w:tc>
          <w:tcPr>
            <w:tcW w:w="2268"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（1）具有独立承担民事责任的能力</w:t>
            </w:r>
          </w:p>
        </w:tc>
        <w:tc>
          <w:tcPr>
            <w:tcW w:w="5976"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①供应商法人营业执照（副本）或事业单位法人证书（副本）或个体工商户营业执照或有效的自然人身份证明、组织机构代码证复印件（注</w:t>
            </w:r>
            <w:r>
              <w:rPr>
                <w:rFonts w:hint="eastAsia" w:ascii="方正仿宋_GBK" w:hAnsi="宋体" w:eastAsia="方正仿宋_GBK" w:cs="宋体"/>
                <w:color w:val="000000" w:themeColor="text1"/>
                <w:kern w:val="0"/>
                <w:szCs w:val="28"/>
              </w:rPr>
              <w:t>1</w:t>
            </w:r>
            <w:r>
              <w:rPr>
                <w:rFonts w:hint="eastAsia" w:ascii="方正仿宋_GBK" w:hAnsi="仿宋" w:eastAsia="方正仿宋_GBK"/>
                <w:color w:val="000000" w:themeColor="text1"/>
                <w:szCs w:val="28"/>
              </w:rPr>
              <w:t xml:space="preserve">）； </w:t>
            </w:r>
          </w:p>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②供应商法定代表人身份证明和法定代表人授权代表委托书。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560" w:lineRule="exact"/>
              <w:jc w:val="center"/>
              <w:rPr>
                <w:rFonts w:ascii="方正仿宋_GBK" w:hAnsi="仿宋" w:eastAsia="方正仿宋_GBK"/>
                <w:color w:val="000000" w:themeColor="text1"/>
                <w:szCs w:val="28"/>
              </w:rPr>
            </w:pPr>
          </w:p>
        </w:tc>
        <w:tc>
          <w:tcPr>
            <w:tcW w:w="567" w:type="dxa"/>
            <w:vMerge w:val="continue"/>
            <w:vAlign w:val="center"/>
          </w:tcPr>
          <w:p>
            <w:pPr>
              <w:spacing w:line="560" w:lineRule="exact"/>
              <w:rPr>
                <w:rFonts w:ascii="方正仿宋_GBK" w:hAnsi="仿宋" w:eastAsia="方正仿宋_GBK" w:cs="仿宋_GB2312"/>
                <w:color w:val="000000" w:themeColor="text1"/>
                <w:szCs w:val="28"/>
                <w:lang w:val="zh-CN"/>
              </w:rPr>
            </w:pPr>
          </w:p>
        </w:tc>
        <w:tc>
          <w:tcPr>
            <w:tcW w:w="2268"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s="仿宋_GB2312"/>
                <w:color w:val="000000" w:themeColor="text1"/>
                <w:szCs w:val="28"/>
                <w:lang w:val="zh-CN"/>
              </w:rPr>
              <w:t>（2）</w:t>
            </w:r>
            <w:r>
              <w:rPr>
                <w:rFonts w:hint="eastAsia" w:ascii="方正仿宋_GBK" w:hAnsi="仿宋" w:eastAsia="方正仿宋_GBK"/>
                <w:color w:val="000000" w:themeColor="text1"/>
                <w:szCs w:val="28"/>
              </w:rPr>
              <w:t>具有良好的商业信誉和健全的财务会计制度</w:t>
            </w:r>
          </w:p>
        </w:tc>
        <w:tc>
          <w:tcPr>
            <w:tcW w:w="5976"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①提供2020年度财务状况报告（表）或其基本开户银行出具的资信证明复印件，本年度新成立或成立不满一年的组织和自然人无法提供财务状况报告（表）的，可提供银行出具的资信证明复印件。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560" w:lineRule="exact"/>
              <w:jc w:val="center"/>
              <w:rPr>
                <w:rFonts w:ascii="方正仿宋_GBK" w:hAnsi="仿宋" w:eastAsia="方正仿宋_GBK"/>
                <w:color w:val="000000" w:themeColor="text1"/>
                <w:szCs w:val="28"/>
              </w:rPr>
            </w:pPr>
          </w:p>
        </w:tc>
        <w:tc>
          <w:tcPr>
            <w:tcW w:w="567" w:type="dxa"/>
            <w:vMerge w:val="continue"/>
            <w:vAlign w:val="center"/>
          </w:tcPr>
          <w:p>
            <w:pPr>
              <w:spacing w:line="560" w:lineRule="exact"/>
              <w:rPr>
                <w:rFonts w:ascii="方正仿宋_GBK" w:hAnsi="仿宋" w:eastAsia="方正仿宋_GBK" w:cs="仿宋_GB2312"/>
                <w:color w:val="000000" w:themeColor="text1"/>
                <w:szCs w:val="28"/>
                <w:lang w:val="zh-CN"/>
              </w:rPr>
            </w:pPr>
          </w:p>
        </w:tc>
        <w:tc>
          <w:tcPr>
            <w:tcW w:w="2268" w:type="dxa"/>
            <w:vAlign w:val="center"/>
          </w:tcPr>
          <w:p>
            <w:pPr>
              <w:spacing w:line="560" w:lineRule="exact"/>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（3）具有履行合同所必需的设备和专业技术能力</w:t>
            </w:r>
          </w:p>
        </w:tc>
        <w:tc>
          <w:tcPr>
            <w:tcW w:w="5976"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①供应商提供书面声明或相关证明材料（见格式文件）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560" w:lineRule="exact"/>
              <w:jc w:val="center"/>
              <w:rPr>
                <w:rFonts w:ascii="方正仿宋_GBK" w:hAnsi="仿宋" w:eastAsia="方正仿宋_GBK"/>
                <w:color w:val="000000" w:themeColor="text1"/>
                <w:szCs w:val="28"/>
              </w:rPr>
            </w:pPr>
          </w:p>
        </w:tc>
        <w:tc>
          <w:tcPr>
            <w:tcW w:w="567" w:type="dxa"/>
            <w:vMerge w:val="continue"/>
            <w:vAlign w:val="center"/>
          </w:tcPr>
          <w:p>
            <w:pPr>
              <w:spacing w:line="560" w:lineRule="exact"/>
              <w:rPr>
                <w:rFonts w:ascii="方正仿宋_GBK" w:hAnsi="仿宋" w:eastAsia="方正仿宋_GBK" w:cs="仿宋_GB2312"/>
                <w:color w:val="000000" w:themeColor="text1"/>
                <w:szCs w:val="28"/>
                <w:lang w:val="zh-CN"/>
              </w:rPr>
            </w:pPr>
          </w:p>
        </w:tc>
        <w:tc>
          <w:tcPr>
            <w:tcW w:w="2268" w:type="dxa"/>
            <w:vAlign w:val="center"/>
          </w:tcPr>
          <w:p>
            <w:pPr>
              <w:spacing w:line="560" w:lineRule="exact"/>
              <w:rPr>
                <w:rFonts w:ascii="方正仿宋_GBK" w:hAnsi="仿宋" w:eastAsia="方正仿宋_GBK" w:cs="仿宋_GB2312"/>
                <w:color w:val="000000" w:themeColor="text1"/>
                <w:szCs w:val="28"/>
                <w:lang w:val="zh-CN"/>
              </w:rPr>
            </w:pPr>
            <w:r>
              <w:rPr>
                <w:rFonts w:hint="eastAsia" w:ascii="方正仿宋_GBK" w:hAnsi="仿宋" w:eastAsia="方正仿宋_GBK" w:cs="仿宋_GB2312"/>
                <w:color w:val="000000" w:themeColor="text1"/>
                <w:szCs w:val="28"/>
                <w:lang w:val="zh-CN"/>
              </w:rPr>
              <w:t>（4）有依法缴纳税收和社会保障金的良好记录</w:t>
            </w:r>
          </w:p>
        </w:tc>
        <w:tc>
          <w:tcPr>
            <w:tcW w:w="5976"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①税务登记证（副本）复印件</w:t>
            </w:r>
          </w:p>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②缴纳社会保障金的证明材料复印件（缴纳社会保障金的证明材料指：社会保险登记证或缴纳社会保险的凭据）。</w:t>
            </w:r>
          </w:p>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③依法免税或不需要缴纳社会保障资金的供应商，应提供相应文件证明其依法免税或不需要缴纳社会保障资金。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spacing w:line="560" w:lineRule="exact"/>
              <w:jc w:val="center"/>
              <w:rPr>
                <w:rFonts w:ascii="方正仿宋_GBK" w:hAnsi="仿宋" w:eastAsia="方正仿宋_GBK"/>
                <w:color w:val="000000" w:themeColor="text1"/>
                <w:szCs w:val="28"/>
              </w:rPr>
            </w:pPr>
          </w:p>
        </w:tc>
        <w:tc>
          <w:tcPr>
            <w:tcW w:w="567" w:type="dxa"/>
            <w:vMerge w:val="continue"/>
            <w:vAlign w:val="center"/>
          </w:tcPr>
          <w:p>
            <w:pPr>
              <w:spacing w:line="560" w:lineRule="exact"/>
              <w:rPr>
                <w:rFonts w:ascii="方正仿宋_GBK" w:hAnsi="仿宋" w:eastAsia="方正仿宋_GBK" w:cs="仿宋_GB2312"/>
                <w:color w:val="000000" w:themeColor="text1"/>
                <w:szCs w:val="28"/>
                <w:lang w:val="zh-CN"/>
              </w:rPr>
            </w:pPr>
          </w:p>
        </w:tc>
        <w:tc>
          <w:tcPr>
            <w:tcW w:w="2268" w:type="dxa"/>
            <w:vAlign w:val="center"/>
          </w:tcPr>
          <w:p>
            <w:pPr>
              <w:spacing w:line="560" w:lineRule="exact"/>
              <w:rPr>
                <w:rFonts w:ascii="方正仿宋_GBK" w:hAnsi="仿宋" w:eastAsia="方正仿宋_GBK" w:cs="仿宋_GB2312"/>
                <w:color w:val="000000" w:themeColor="text1"/>
                <w:szCs w:val="28"/>
                <w:lang w:val="zh-CN"/>
              </w:rPr>
            </w:pPr>
            <w:r>
              <w:rPr>
                <w:rFonts w:hint="eastAsia" w:ascii="方正仿宋_GBK" w:hAnsi="仿宋" w:eastAsia="方正仿宋_GBK"/>
                <w:color w:val="000000" w:themeColor="text1"/>
                <w:szCs w:val="28"/>
              </w:rPr>
              <w:t>（5）参加政府采购活动前三年内，在经营活动中没有重大违法记录（注</w:t>
            </w:r>
            <w:r>
              <w:rPr>
                <w:rFonts w:hint="eastAsia" w:ascii="方正仿宋_GBK" w:hAnsi="宋体" w:eastAsia="方正仿宋_GBK" w:cs="宋体"/>
                <w:color w:val="000000" w:themeColor="text1"/>
                <w:kern w:val="0"/>
                <w:szCs w:val="28"/>
              </w:rPr>
              <w:t>2</w:t>
            </w:r>
            <w:r>
              <w:rPr>
                <w:rFonts w:hint="eastAsia" w:ascii="方正仿宋_GBK" w:hAnsi="仿宋" w:eastAsia="方正仿宋_GBK"/>
                <w:color w:val="000000" w:themeColor="text1"/>
                <w:szCs w:val="28"/>
              </w:rPr>
              <w:t>）</w:t>
            </w:r>
          </w:p>
        </w:tc>
        <w:tc>
          <w:tcPr>
            <w:tcW w:w="5976"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①供应商提供书面声明（见格式文件）；</w:t>
            </w:r>
          </w:p>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②采购人或采购代理机构将通过 “信用中国”网站(www.creditchina.gov.cn)、"中国政府采购网"(www.ccgp-chongqing.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17" w:type="dxa"/>
            <w:vMerge w:val="continue"/>
            <w:vAlign w:val="center"/>
          </w:tcPr>
          <w:p>
            <w:pPr>
              <w:spacing w:line="560" w:lineRule="exact"/>
              <w:jc w:val="center"/>
              <w:rPr>
                <w:rFonts w:ascii="方正仿宋_GBK" w:hAnsi="仿宋" w:eastAsia="方正仿宋_GBK"/>
                <w:color w:val="000000" w:themeColor="text1"/>
                <w:szCs w:val="28"/>
              </w:rPr>
            </w:pPr>
          </w:p>
        </w:tc>
        <w:tc>
          <w:tcPr>
            <w:tcW w:w="567" w:type="dxa"/>
            <w:vMerge w:val="continue"/>
            <w:vAlign w:val="center"/>
          </w:tcPr>
          <w:p>
            <w:pPr>
              <w:spacing w:line="560" w:lineRule="exact"/>
              <w:rPr>
                <w:rFonts w:ascii="方正仿宋_GBK" w:hAnsi="仿宋" w:eastAsia="方正仿宋_GBK" w:cs="仿宋_GB2312"/>
                <w:color w:val="000000" w:themeColor="text1"/>
                <w:szCs w:val="28"/>
              </w:rPr>
            </w:pPr>
          </w:p>
        </w:tc>
        <w:tc>
          <w:tcPr>
            <w:tcW w:w="2268"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（6）法律、行政法规规定的其他条件</w:t>
            </w:r>
          </w:p>
        </w:tc>
        <w:tc>
          <w:tcPr>
            <w:tcW w:w="5976" w:type="dxa"/>
            <w:vAlign w:val="center"/>
          </w:tcPr>
          <w:p>
            <w:pPr>
              <w:spacing w:line="560" w:lineRule="exact"/>
              <w:rPr>
                <w:rFonts w:ascii="方正仿宋_GBK" w:hAnsi="仿宋" w:eastAsia="方正仿宋_GBK"/>
                <w:color w:val="000000" w:themeColor="text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60" w:lineRule="exact"/>
              <w:jc w:val="center"/>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2</w:t>
            </w:r>
          </w:p>
        </w:tc>
        <w:tc>
          <w:tcPr>
            <w:tcW w:w="2835" w:type="dxa"/>
            <w:gridSpan w:val="2"/>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特定资格条件</w:t>
            </w:r>
          </w:p>
        </w:tc>
        <w:tc>
          <w:tcPr>
            <w:tcW w:w="5976" w:type="dxa"/>
            <w:vAlign w:val="center"/>
          </w:tcPr>
          <w:p>
            <w:pPr>
              <w:spacing w:line="560" w:lineRule="exact"/>
              <w:rPr>
                <w:rFonts w:ascii="方正仿宋_GBK" w:hAnsi="仿宋" w:eastAsia="方正仿宋_GBK"/>
                <w:color w:val="000000" w:themeColor="text1"/>
                <w:szCs w:val="28"/>
              </w:rPr>
            </w:pPr>
            <w:r>
              <w:rPr>
                <w:rFonts w:hint="eastAsia" w:ascii="方正仿宋_GBK" w:hAnsi="仿宋" w:eastAsia="方正仿宋_GBK"/>
                <w:color w:val="000000" w:themeColor="text1"/>
                <w:szCs w:val="28"/>
              </w:rPr>
              <w:t>按第一篇“三、供应商资格要求（二）特定资格条件”的要求提交</w:t>
            </w:r>
          </w:p>
        </w:tc>
      </w:tr>
    </w:tbl>
    <w:p>
      <w:pPr>
        <w:snapToGrid w:val="0"/>
        <w:spacing w:line="560" w:lineRule="exact"/>
        <w:ind w:firstLine="420" w:firstLineChars="200"/>
        <w:rPr>
          <w:rFonts w:cs="宋体"/>
          <w:szCs w:val="21"/>
        </w:rPr>
      </w:pPr>
      <w:r>
        <w:rPr>
          <w:rFonts w:hint="eastAsia" w:cs="宋体"/>
          <w:szCs w:val="21"/>
        </w:rPr>
        <w:t>注1：供应商按“多证合一”登记制度办理营业执照的，组织机构代码证、税务登记证（副本）和社会保险登记证以供应商所提供的营业执照（副本）复印件为准。</w:t>
      </w:r>
    </w:p>
    <w:p>
      <w:pPr>
        <w:snapToGrid w:val="0"/>
        <w:spacing w:line="560" w:lineRule="exact"/>
        <w:ind w:firstLine="420" w:firstLineChars="200"/>
        <w:rPr>
          <w:rFonts w:cs="宋体"/>
          <w:szCs w:val="21"/>
        </w:rPr>
      </w:pPr>
      <w:r>
        <w:rPr>
          <w:rFonts w:hint="eastAsia" w:cs="宋体"/>
          <w:szCs w:val="21"/>
        </w:rPr>
        <w:t>注2：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w:t>
      </w:r>
    </w:p>
    <w:p>
      <w:pPr>
        <w:snapToGrid w:val="0"/>
        <w:spacing w:line="560" w:lineRule="exact"/>
        <w:ind w:firstLine="420" w:firstLineChars="200"/>
        <w:rPr>
          <w:rFonts w:cs="宋体"/>
          <w:szCs w:val="21"/>
        </w:rPr>
      </w:pPr>
      <w:r>
        <w:rPr>
          <w:rFonts w:hint="eastAsia" w:cs="宋体"/>
          <w:szCs w:val="21"/>
        </w:rPr>
        <w:t>2.符合性检查。依据竞争性磋商文件的规定，磋商小组从响应文件的有效性、完整性和对竞争性磋商文件的响应程度进行审查，以确定是否对竞争性磋商文件的实质性要求作出响应。符合性检查资料表如下：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7" w:type="dxa"/>
            <w:vAlign w:val="center"/>
          </w:tcPr>
          <w:p>
            <w:pPr>
              <w:spacing w:line="560" w:lineRule="exact"/>
              <w:jc w:val="center"/>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序号</w:t>
            </w:r>
          </w:p>
        </w:tc>
        <w:tc>
          <w:tcPr>
            <w:tcW w:w="3402" w:type="dxa"/>
            <w:gridSpan w:val="2"/>
            <w:vAlign w:val="center"/>
          </w:tcPr>
          <w:p>
            <w:pPr>
              <w:spacing w:line="560" w:lineRule="exact"/>
              <w:jc w:val="center"/>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评审因素</w:t>
            </w:r>
          </w:p>
        </w:tc>
        <w:tc>
          <w:tcPr>
            <w:tcW w:w="5409" w:type="dxa"/>
            <w:vAlign w:val="center"/>
          </w:tcPr>
          <w:p>
            <w:pPr>
              <w:spacing w:line="560" w:lineRule="exact"/>
              <w:jc w:val="center"/>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17" w:type="dxa"/>
            <w:vMerge w:val="restart"/>
            <w:vAlign w:val="center"/>
          </w:tcPr>
          <w:p>
            <w:pPr>
              <w:spacing w:line="560" w:lineRule="exact"/>
              <w:jc w:val="center"/>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1</w:t>
            </w:r>
          </w:p>
        </w:tc>
        <w:tc>
          <w:tcPr>
            <w:tcW w:w="1418" w:type="dxa"/>
            <w:vMerge w:val="restart"/>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有效性审查</w:t>
            </w:r>
          </w:p>
        </w:tc>
        <w:tc>
          <w:tcPr>
            <w:tcW w:w="1984"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olor w:val="000000" w:themeColor="text1"/>
                <w:szCs w:val="28"/>
              </w:rPr>
              <w:t>响应文件签署</w:t>
            </w:r>
          </w:p>
        </w:tc>
        <w:tc>
          <w:tcPr>
            <w:tcW w:w="5409"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olor w:val="000000" w:themeColor="text1"/>
                <w:szCs w:val="28"/>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7" w:type="dxa"/>
            <w:vMerge w:val="continue"/>
            <w:vAlign w:val="center"/>
          </w:tcPr>
          <w:p>
            <w:pPr>
              <w:spacing w:line="560" w:lineRule="exact"/>
              <w:jc w:val="center"/>
              <w:rPr>
                <w:rFonts w:ascii="方正仿宋_GBK" w:hAnsi="宋体" w:eastAsia="方正仿宋_GBK" w:cs="宋体"/>
                <w:color w:val="000000" w:themeColor="text1"/>
                <w:kern w:val="0"/>
                <w:szCs w:val="28"/>
              </w:rPr>
            </w:pPr>
          </w:p>
        </w:tc>
        <w:tc>
          <w:tcPr>
            <w:tcW w:w="1418" w:type="dxa"/>
            <w:vMerge w:val="continue"/>
            <w:vAlign w:val="center"/>
          </w:tcPr>
          <w:p>
            <w:pPr>
              <w:spacing w:line="560" w:lineRule="exact"/>
              <w:rPr>
                <w:rFonts w:ascii="方正仿宋_GBK" w:hAnsi="宋体" w:eastAsia="方正仿宋_GBK" w:cs="宋体"/>
                <w:color w:val="000000" w:themeColor="text1"/>
                <w:kern w:val="0"/>
                <w:szCs w:val="28"/>
              </w:rPr>
            </w:pPr>
          </w:p>
        </w:tc>
        <w:tc>
          <w:tcPr>
            <w:tcW w:w="1984" w:type="dxa"/>
            <w:vAlign w:val="center"/>
          </w:tcPr>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法定代表人身份证明及授权委托书</w:t>
            </w:r>
          </w:p>
        </w:tc>
        <w:tc>
          <w:tcPr>
            <w:tcW w:w="5409" w:type="dxa"/>
            <w:vAlign w:val="center"/>
          </w:tcPr>
          <w:p>
            <w:pPr>
              <w:spacing w:line="560" w:lineRule="exact"/>
              <w:rPr>
                <w:rFonts w:ascii="方正仿宋_GBK" w:hAnsi="宋体" w:eastAsia="方正仿宋_GBK"/>
                <w:color w:val="000000" w:themeColor="text1"/>
                <w:szCs w:val="28"/>
              </w:rPr>
            </w:pPr>
            <w:r>
              <w:rPr>
                <w:rFonts w:hint="eastAsia" w:ascii="方正仿宋_GBK" w:hAnsi="宋体" w:eastAsia="方正仿宋_GBK"/>
                <w:color w:val="000000" w:themeColor="text1"/>
                <w:szCs w:val="28"/>
              </w:rPr>
              <w:t>法定代表人身份证明及授权委托书有效，符合竞争性磋商文件规定的格式，签字和盖章齐全。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17" w:type="dxa"/>
            <w:vMerge w:val="continue"/>
            <w:vAlign w:val="center"/>
          </w:tcPr>
          <w:p>
            <w:pPr>
              <w:spacing w:line="560" w:lineRule="exact"/>
              <w:jc w:val="center"/>
              <w:rPr>
                <w:rFonts w:ascii="方正仿宋_GBK" w:hAnsi="宋体" w:eastAsia="方正仿宋_GBK" w:cs="宋体"/>
                <w:color w:val="000000" w:themeColor="text1"/>
                <w:kern w:val="0"/>
                <w:szCs w:val="28"/>
              </w:rPr>
            </w:pPr>
          </w:p>
        </w:tc>
        <w:tc>
          <w:tcPr>
            <w:tcW w:w="1418" w:type="dxa"/>
            <w:vMerge w:val="continue"/>
            <w:vAlign w:val="center"/>
          </w:tcPr>
          <w:p>
            <w:pPr>
              <w:spacing w:line="560" w:lineRule="exact"/>
              <w:rPr>
                <w:rFonts w:ascii="方正仿宋_GBK" w:hAnsi="宋体" w:eastAsia="方正仿宋_GBK" w:cs="宋体"/>
                <w:color w:val="000000" w:themeColor="text1"/>
                <w:kern w:val="0"/>
                <w:szCs w:val="28"/>
              </w:rPr>
            </w:pPr>
          </w:p>
        </w:tc>
        <w:tc>
          <w:tcPr>
            <w:tcW w:w="1984" w:type="dxa"/>
            <w:vAlign w:val="center"/>
          </w:tcPr>
          <w:p>
            <w:pPr>
              <w:spacing w:line="560" w:lineRule="exact"/>
              <w:rPr>
                <w:rFonts w:ascii="方正仿宋_GBK" w:hAnsi="宋体" w:eastAsia="方正仿宋_GBK" w:cs="仿宋_GB2312"/>
                <w:color w:val="000000" w:themeColor="text1"/>
                <w:szCs w:val="28"/>
                <w:lang w:val="zh-CN"/>
              </w:rPr>
            </w:pPr>
            <w:r>
              <w:rPr>
                <w:rFonts w:hint="eastAsia" w:ascii="方正仿宋_GBK" w:hAnsi="宋体" w:eastAsia="方正仿宋_GBK" w:cs="仿宋_GB2312"/>
                <w:color w:val="000000" w:themeColor="text1"/>
                <w:szCs w:val="28"/>
              </w:rPr>
              <w:t>响应</w:t>
            </w:r>
            <w:r>
              <w:rPr>
                <w:rFonts w:hint="eastAsia" w:ascii="方正仿宋_GBK" w:hAnsi="宋体" w:eastAsia="方正仿宋_GBK" w:cs="仿宋_GB2312"/>
                <w:color w:val="000000" w:themeColor="text1"/>
                <w:szCs w:val="28"/>
                <w:lang w:val="zh-CN"/>
              </w:rPr>
              <w:t>方案</w:t>
            </w:r>
          </w:p>
        </w:tc>
        <w:tc>
          <w:tcPr>
            <w:tcW w:w="5409"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仿宋_GB2312"/>
                <w:color w:val="000000" w:themeColor="text1"/>
                <w:szCs w:val="28"/>
                <w:lang w:val="zh-CN"/>
              </w:rPr>
              <w:t>只能有一个</w:t>
            </w:r>
            <w:r>
              <w:rPr>
                <w:rFonts w:hint="eastAsia" w:ascii="方正仿宋_GBK" w:hAnsi="宋体" w:eastAsia="方正仿宋_GBK" w:cs="仿宋_GB2312"/>
                <w:color w:val="000000" w:themeColor="text1"/>
                <w:szCs w:val="28"/>
              </w:rPr>
              <w:t>响应</w:t>
            </w:r>
            <w:r>
              <w:rPr>
                <w:rFonts w:hint="eastAsia" w:ascii="方正仿宋_GBK" w:hAnsi="宋体" w:eastAsia="方正仿宋_GBK" w:cs="仿宋_GB2312"/>
                <w:color w:val="000000" w:themeColor="text1"/>
                <w:szCs w:val="28"/>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Merge w:val="continue"/>
            <w:vAlign w:val="center"/>
          </w:tcPr>
          <w:p>
            <w:pPr>
              <w:spacing w:line="560" w:lineRule="exact"/>
              <w:jc w:val="center"/>
              <w:rPr>
                <w:rFonts w:ascii="方正仿宋_GBK" w:hAnsi="宋体" w:eastAsia="方正仿宋_GBK" w:cs="宋体"/>
                <w:color w:val="000000" w:themeColor="text1"/>
                <w:kern w:val="0"/>
                <w:szCs w:val="28"/>
              </w:rPr>
            </w:pPr>
          </w:p>
        </w:tc>
        <w:tc>
          <w:tcPr>
            <w:tcW w:w="1418" w:type="dxa"/>
            <w:vMerge w:val="continue"/>
            <w:vAlign w:val="center"/>
          </w:tcPr>
          <w:p>
            <w:pPr>
              <w:spacing w:line="560" w:lineRule="exact"/>
              <w:rPr>
                <w:rFonts w:ascii="方正仿宋_GBK" w:hAnsi="宋体" w:eastAsia="方正仿宋_GBK" w:cs="宋体"/>
                <w:color w:val="000000" w:themeColor="text1"/>
                <w:kern w:val="0"/>
                <w:szCs w:val="28"/>
              </w:rPr>
            </w:pPr>
          </w:p>
        </w:tc>
        <w:tc>
          <w:tcPr>
            <w:tcW w:w="1984" w:type="dxa"/>
            <w:vAlign w:val="center"/>
          </w:tcPr>
          <w:p>
            <w:pPr>
              <w:spacing w:line="560" w:lineRule="exact"/>
              <w:rPr>
                <w:rFonts w:ascii="方正仿宋_GBK" w:hAnsi="宋体" w:eastAsia="方正仿宋_GBK" w:cs="仿宋_GB2312"/>
                <w:color w:val="000000" w:themeColor="text1"/>
                <w:szCs w:val="28"/>
                <w:lang w:val="zh-CN"/>
              </w:rPr>
            </w:pPr>
            <w:r>
              <w:rPr>
                <w:rFonts w:hint="eastAsia" w:ascii="方正仿宋_GBK" w:hAnsi="宋体" w:eastAsia="方正仿宋_GBK"/>
                <w:color w:val="000000" w:themeColor="text1"/>
                <w:szCs w:val="28"/>
              </w:rPr>
              <w:t>报价唯一</w:t>
            </w:r>
          </w:p>
        </w:tc>
        <w:tc>
          <w:tcPr>
            <w:tcW w:w="5409"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olor w:val="000000" w:themeColor="text1"/>
                <w:szCs w:val="28"/>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17" w:type="dxa"/>
            <w:vAlign w:val="center"/>
          </w:tcPr>
          <w:p>
            <w:pPr>
              <w:spacing w:line="560" w:lineRule="exact"/>
              <w:jc w:val="center"/>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2</w:t>
            </w:r>
          </w:p>
        </w:tc>
        <w:tc>
          <w:tcPr>
            <w:tcW w:w="1418"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完整性审查</w:t>
            </w:r>
          </w:p>
        </w:tc>
        <w:tc>
          <w:tcPr>
            <w:tcW w:w="1984"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仿宋_GB2312"/>
                <w:color w:val="000000" w:themeColor="text1"/>
                <w:szCs w:val="28"/>
              </w:rPr>
              <w:t>响应</w:t>
            </w:r>
            <w:r>
              <w:rPr>
                <w:rFonts w:hint="eastAsia" w:ascii="方正仿宋_GBK" w:hAnsi="宋体" w:eastAsia="方正仿宋_GBK" w:cs="仿宋_GB2312"/>
                <w:color w:val="000000" w:themeColor="text1"/>
                <w:szCs w:val="28"/>
                <w:lang w:val="zh-CN"/>
              </w:rPr>
              <w:t>文件份数</w:t>
            </w:r>
          </w:p>
        </w:tc>
        <w:tc>
          <w:tcPr>
            <w:tcW w:w="5409"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仿宋_GB2312"/>
                <w:color w:val="000000" w:themeColor="text1"/>
                <w:szCs w:val="28"/>
              </w:rPr>
              <w:t>响应</w:t>
            </w:r>
            <w:r>
              <w:rPr>
                <w:rFonts w:hint="eastAsia" w:ascii="方正仿宋_GBK" w:hAnsi="宋体" w:eastAsia="方正仿宋_GBK" w:cs="仿宋_GB2312"/>
                <w:color w:val="000000" w:themeColor="text1"/>
                <w:szCs w:val="28"/>
                <w:lang w:val="zh-CN"/>
              </w:rPr>
              <w:t>文件正、副本数量符合</w:t>
            </w:r>
            <w:r>
              <w:rPr>
                <w:rFonts w:hint="eastAsia" w:ascii="方正仿宋_GBK" w:hAnsi="宋体" w:eastAsia="方正仿宋_GBK" w:cs="仿宋_GB2312"/>
                <w:color w:val="000000" w:themeColor="text1"/>
                <w:szCs w:val="28"/>
              </w:rPr>
              <w:t>竞争性磋商</w:t>
            </w:r>
            <w:r>
              <w:rPr>
                <w:rFonts w:hint="eastAsia" w:ascii="方正仿宋_GBK" w:hAnsi="宋体" w:eastAsia="方正仿宋_GBK" w:cs="仿宋_GB2312"/>
                <w:color w:val="000000" w:themeColor="text1"/>
                <w:szCs w:val="28"/>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17" w:type="dxa"/>
            <w:vMerge w:val="restart"/>
            <w:vAlign w:val="center"/>
          </w:tcPr>
          <w:p>
            <w:pPr>
              <w:spacing w:line="560" w:lineRule="exact"/>
              <w:jc w:val="center"/>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3</w:t>
            </w:r>
          </w:p>
        </w:tc>
        <w:tc>
          <w:tcPr>
            <w:tcW w:w="1418" w:type="dxa"/>
            <w:vMerge w:val="restart"/>
            <w:vAlign w:val="center"/>
          </w:tcPr>
          <w:p>
            <w:pPr>
              <w:spacing w:line="560" w:lineRule="exact"/>
              <w:rPr>
                <w:rFonts w:ascii="方正仿宋_GBK" w:hAnsi="宋体" w:eastAsia="方正仿宋_GBK" w:cs="仿宋_GB2312"/>
                <w:color w:val="000000" w:themeColor="text1"/>
                <w:szCs w:val="28"/>
                <w:lang w:val="zh-CN"/>
              </w:rPr>
            </w:pPr>
            <w:r>
              <w:rPr>
                <w:rFonts w:hint="eastAsia" w:ascii="方正仿宋_GBK" w:hAnsi="宋体" w:eastAsia="方正仿宋_GBK" w:cs="宋体"/>
                <w:color w:val="000000" w:themeColor="text1"/>
                <w:kern w:val="0"/>
                <w:szCs w:val="28"/>
              </w:rPr>
              <w:t>竞争性磋商文件的响应程度审查</w:t>
            </w:r>
          </w:p>
        </w:tc>
        <w:tc>
          <w:tcPr>
            <w:tcW w:w="1984"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响应文件内容</w:t>
            </w:r>
          </w:p>
        </w:tc>
        <w:tc>
          <w:tcPr>
            <w:tcW w:w="5409"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仿宋_GB2312"/>
                <w:color w:val="000000" w:themeColor="text1"/>
                <w:szCs w:val="28"/>
              </w:rPr>
              <w:t>对竞争性磋商文件第三篇</w:t>
            </w:r>
            <w:r>
              <w:rPr>
                <w:rFonts w:hint="eastAsia" w:eastAsia="方正仿宋_GBK" w:cs="仿宋_GB2312" w:asciiTheme="minorHAnsi" w:hAnsiTheme="minorHAnsi"/>
                <w:color w:val="000000" w:themeColor="text1"/>
                <w:szCs w:val="28"/>
              </w:rPr>
              <w:t>、第四篇</w:t>
            </w:r>
            <w:r>
              <w:rPr>
                <w:rFonts w:hint="eastAsia" w:ascii="方正仿宋_GBK" w:hAnsi="宋体" w:eastAsia="方正仿宋_GBK" w:cs="仿宋_GB2312"/>
                <w:color w:val="000000" w:themeColor="text1"/>
                <w:szCs w:val="28"/>
              </w:rPr>
              <w:t>规定的磋商内容进行响应。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7" w:type="dxa"/>
            <w:vMerge w:val="continue"/>
            <w:vAlign w:val="center"/>
          </w:tcPr>
          <w:p>
            <w:pPr>
              <w:spacing w:line="560" w:lineRule="exact"/>
              <w:jc w:val="center"/>
              <w:rPr>
                <w:rFonts w:ascii="方正仿宋_GBK" w:hAnsi="宋体" w:eastAsia="方正仿宋_GBK" w:cs="宋体"/>
                <w:color w:val="000000" w:themeColor="text1"/>
                <w:kern w:val="0"/>
                <w:szCs w:val="28"/>
              </w:rPr>
            </w:pPr>
          </w:p>
        </w:tc>
        <w:tc>
          <w:tcPr>
            <w:tcW w:w="1418" w:type="dxa"/>
            <w:vMerge w:val="continue"/>
            <w:vAlign w:val="center"/>
          </w:tcPr>
          <w:p>
            <w:pPr>
              <w:spacing w:line="560" w:lineRule="exact"/>
              <w:rPr>
                <w:rFonts w:ascii="方正仿宋_GBK" w:hAnsi="宋体" w:eastAsia="方正仿宋_GBK" w:cs="仿宋_GB2312"/>
                <w:color w:val="000000" w:themeColor="text1"/>
                <w:szCs w:val="28"/>
                <w:lang w:val="zh-CN"/>
              </w:rPr>
            </w:pPr>
          </w:p>
        </w:tc>
        <w:tc>
          <w:tcPr>
            <w:tcW w:w="1984"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磋商有效期</w:t>
            </w:r>
          </w:p>
        </w:tc>
        <w:tc>
          <w:tcPr>
            <w:tcW w:w="5409" w:type="dxa"/>
            <w:vAlign w:val="center"/>
          </w:tcPr>
          <w:p>
            <w:pPr>
              <w:spacing w:line="560" w:lineRule="exact"/>
              <w:rPr>
                <w:rFonts w:ascii="方正仿宋_GBK" w:hAnsi="宋体" w:eastAsia="方正仿宋_GBK" w:cs="宋体"/>
                <w:color w:val="000000" w:themeColor="text1"/>
                <w:kern w:val="0"/>
                <w:szCs w:val="28"/>
              </w:rPr>
            </w:pPr>
            <w:r>
              <w:rPr>
                <w:rFonts w:hint="eastAsia" w:ascii="方正仿宋_GBK" w:hAnsi="宋体" w:eastAsia="方正仿宋_GBK" w:cs="宋体"/>
                <w:color w:val="000000" w:themeColor="text1"/>
                <w:kern w:val="0"/>
                <w:szCs w:val="28"/>
              </w:rPr>
              <w:t>满足磋商文件</w:t>
            </w:r>
            <w:r>
              <w:rPr>
                <w:rFonts w:hint="eastAsia" w:ascii="方正仿宋_GBK" w:hAnsi="宋体" w:eastAsia="方正仿宋_GBK" w:cs="仿宋_GB2312"/>
                <w:color w:val="000000" w:themeColor="text1"/>
                <w:szCs w:val="28"/>
                <w:lang w:val="zh-CN"/>
              </w:rPr>
              <w:t>规定。</w:t>
            </w:r>
          </w:p>
        </w:tc>
      </w:tr>
    </w:tbl>
    <w:p>
      <w:pPr>
        <w:spacing w:line="560" w:lineRule="exact"/>
        <w:ind w:firstLine="315" w:firstLineChars="150"/>
        <w:rPr>
          <w:rFonts w:cs="宋体"/>
          <w:szCs w:val="21"/>
        </w:rPr>
      </w:pPr>
      <w:r>
        <w:rPr>
          <w:rFonts w:hint="eastAsia" w:cs="宋体"/>
          <w:szCs w:val="21"/>
        </w:rPr>
        <w:t>（三）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60" w:lineRule="exact"/>
        <w:ind w:firstLine="315" w:firstLineChars="150"/>
        <w:rPr>
          <w:rFonts w:cs="宋体"/>
          <w:szCs w:val="21"/>
        </w:rPr>
      </w:pPr>
      <w:r>
        <w:rPr>
          <w:rFonts w:hint="eastAsia" w:cs="宋体"/>
          <w:szCs w:val="21"/>
        </w:rPr>
        <w:t>（四）供应商的澄清、说明或者更正应当由法定代表人或其授权代表签字或者加盖公章。由授权代表签字的，应当附法定代表人授权书。供应商为自然人的，应当由本人签字并附身份证明。</w:t>
      </w:r>
    </w:p>
    <w:p>
      <w:pPr>
        <w:spacing w:line="560" w:lineRule="exact"/>
        <w:ind w:firstLine="315" w:firstLineChars="150"/>
        <w:rPr>
          <w:rFonts w:cs="宋体"/>
          <w:szCs w:val="21"/>
        </w:rPr>
      </w:pPr>
      <w:r>
        <w:rPr>
          <w:rFonts w:hint="eastAsia" w:cs="宋体"/>
          <w:szCs w:val="21"/>
        </w:rPr>
        <w:t>（五）在磋商过程中磋商的任何一方不得向他人透露与磋商有关的技术资料、价格或其他信息。</w:t>
      </w:r>
    </w:p>
    <w:p>
      <w:pPr>
        <w:spacing w:line="560" w:lineRule="exact"/>
        <w:ind w:firstLine="315" w:firstLineChars="150"/>
        <w:rPr>
          <w:rFonts w:cs="宋体"/>
          <w:szCs w:val="21"/>
        </w:rPr>
      </w:pPr>
      <w:r>
        <w:rPr>
          <w:rFonts w:hint="eastAsia" w:cs="宋体"/>
          <w:szCs w:val="21"/>
        </w:rPr>
        <w:t>（六）供应商在磋商时作出的所有书面承诺须由法定代表人或其授权代表签字。</w:t>
      </w:r>
    </w:p>
    <w:p>
      <w:pPr>
        <w:spacing w:line="560" w:lineRule="exact"/>
        <w:ind w:firstLine="315" w:firstLineChars="150"/>
        <w:rPr>
          <w:rFonts w:cs="宋体"/>
          <w:szCs w:val="21"/>
        </w:rPr>
      </w:pPr>
      <w:r>
        <w:rPr>
          <w:rFonts w:hint="eastAsia" w:cs="宋体"/>
          <w:szCs w:val="21"/>
        </w:rPr>
        <w:t>（七）通过资格性审查和符合性审查的供应商提交最后报价及有关承诺（填写《最后报价表》提交）。已提交响应文件但未在规定时间内进行最后报价的供应商，视为放弃最后报价，以供应商响应文件中的报价为准。</w:t>
      </w:r>
    </w:p>
    <w:p>
      <w:pPr>
        <w:pStyle w:val="4"/>
        <w:spacing w:before="0" w:after="0" w:line="560" w:lineRule="exact"/>
        <w:ind w:firstLine="562" w:firstLineChars="200"/>
        <w:rPr>
          <w:rFonts w:cs="宋体"/>
          <w:bCs w:val="0"/>
          <w:sz w:val="28"/>
          <w:szCs w:val="28"/>
        </w:rPr>
      </w:pPr>
      <w:bookmarkStart w:id="30" w:name="_Toc29543169"/>
      <w:bookmarkStart w:id="31" w:name="_Toc102227320"/>
      <w:bookmarkStart w:id="32" w:name="_Toc342913394"/>
      <w:r>
        <w:rPr>
          <w:rFonts w:hint="eastAsia" w:cs="宋体"/>
          <w:bCs w:val="0"/>
          <w:sz w:val="28"/>
          <w:szCs w:val="28"/>
        </w:rPr>
        <w:t>五、</w:t>
      </w:r>
      <w:bookmarkEnd w:id="30"/>
      <w:r>
        <w:rPr>
          <w:rFonts w:hint="eastAsia" w:cs="宋体"/>
          <w:bCs w:val="0"/>
          <w:sz w:val="28"/>
          <w:szCs w:val="28"/>
        </w:rPr>
        <w:t>正式评审</w:t>
      </w:r>
    </w:p>
    <w:p>
      <w:pPr>
        <w:spacing w:line="560" w:lineRule="exact"/>
        <w:ind w:firstLine="420" w:firstLineChars="200"/>
        <w:rPr>
          <w:rFonts w:cs="宋体"/>
          <w:szCs w:val="21"/>
        </w:rPr>
      </w:pPr>
      <w:r>
        <w:rPr>
          <w:rFonts w:hint="eastAsia" w:cs="宋体"/>
          <w:szCs w:val="21"/>
        </w:rPr>
        <w:t>评审的依据为竞争性磋商文件和响应文件（含有效的补充文件）。磋商小组判断响应文件对竞争性磋商文件的响应，仅基于响应文件本身而不靠外部证据。</w:t>
      </w:r>
    </w:p>
    <w:p>
      <w:pPr>
        <w:pStyle w:val="4"/>
        <w:spacing w:before="0" w:after="0" w:line="560" w:lineRule="exact"/>
        <w:ind w:firstLine="562" w:firstLineChars="200"/>
        <w:rPr>
          <w:rFonts w:cs="宋体"/>
          <w:bCs w:val="0"/>
          <w:sz w:val="28"/>
          <w:szCs w:val="28"/>
        </w:rPr>
      </w:pPr>
      <w:bookmarkStart w:id="33" w:name="_Toc29543170"/>
      <w:r>
        <w:rPr>
          <w:rFonts w:hint="eastAsia" w:cs="宋体"/>
          <w:bCs w:val="0"/>
          <w:sz w:val="28"/>
          <w:szCs w:val="28"/>
        </w:rPr>
        <w:t>六、成交</w:t>
      </w:r>
      <w:bookmarkEnd w:id="31"/>
      <w:r>
        <w:rPr>
          <w:rFonts w:hint="eastAsia" w:cs="宋体"/>
          <w:bCs w:val="0"/>
          <w:sz w:val="28"/>
          <w:szCs w:val="28"/>
        </w:rPr>
        <w:t>原则</w:t>
      </w:r>
      <w:bookmarkEnd w:id="32"/>
      <w:bookmarkEnd w:id="33"/>
    </w:p>
    <w:p>
      <w:pPr>
        <w:spacing w:line="520" w:lineRule="exact"/>
        <w:ind w:firstLine="420" w:firstLineChars="200"/>
        <w:rPr>
          <w:rFonts w:cs="宋体"/>
          <w:szCs w:val="21"/>
        </w:rPr>
      </w:pPr>
      <w:r>
        <w:rPr>
          <w:rFonts w:hint="eastAsia" w:cs="宋体"/>
          <w:szCs w:val="21"/>
        </w:rPr>
        <w:t>磋商小组将依照本竞争性磋商文件相关规定对质量和服务均能满足竞争性磋商实质性响应要求的供应商进行评审。</w:t>
      </w:r>
    </w:p>
    <w:p>
      <w:pPr>
        <w:snapToGrid w:val="0"/>
        <w:spacing w:line="560" w:lineRule="exact"/>
        <w:ind w:firstLine="315" w:firstLineChars="150"/>
        <w:rPr>
          <w:rFonts w:cs="宋体"/>
          <w:szCs w:val="21"/>
        </w:rPr>
      </w:pPr>
      <w:r>
        <w:rPr>
          <w:rFonts w:hint="eastAsia" w:cs="宋体"/>
          <w:szCs w:val="21"/>
        </w:rPr>
        <w:t>（一）评审办法</w:t>
      </w:r>
    </w:p>
    <w:p>
      <w:pPr>
        <w:snapToGrid w:val="0"/>
        <w:spacing w:line="560" w:lineRule="exact"/>
        <w:ind w:firstLine="420" w:firstLineChars="15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1.采用综合评分法</w:t>
      </w:r>
      <w:r>
        <w:rPr>
          <w:rFonts w:ascii="方正仿宋_GBK" w:hAnsi="宋体" w:eastAsia="方正仿宋_GBK"/>
          <w:color w:val="000000" w:themeColor="text1"/>
          <w:sz w:val="28"/>
          <w:szCs w:val="28"/>
        </w:rPr>
        <w:t xml:space="preserve"> </w:t>
      </w:r>
    </w:p>
    <w:tbl>
      <w:tblPr>
        <w:tblStyle w:val="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279"/>
        <w:gridCol w:w="851"/>
        <w:gridCol w:w="458"/>
        <w:gridCol w:w="4209"/>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pPr>
              <w:ind w:firstLine="420" w:firstLineChars="200"/>
              <w:jc w:val="center"/>
              <w:rPr>
                <w:rFonts w:ascii="宋体"/>
                <w:kern w:val="0"/>
                <w:szCs w:val="21"/>
              </w:rPr>
            </w:pPr>
            <w:r>
              <w:rPr>
                <w:rFonts w:hint="eastAsia" w:ascii="宋体"/>
                <w:kern w:val="0"/>
                <w:szCs w:val="21"/>
              </w:rPr>
              <w:t>序序号</w:t>
            </w:r>
          </w:p>
        </w:tc>
        <w:tc>
          <w:tcPr>
            <w:tcW w:w="664" w:type="pct"/>
            <w:vAlign w:val="center"/>
          </w:tcPr>
          <w:p>
            <w:pPr>
              <w:rPr>
                <w:rFonts w:ascii="宋体"/>
                <w:kern w:val="0"/>
                <w:szCs w:val="21"/>
              </w:rPr>
            </w:pPr>
            <w:r>
              <w:rPr>
                <w:rFonts w:hint="eastAsia" w:ascii="宋体"/>
                <w:kern w:val="0"/>
                <w:szCs w:val="21"/>
              </w:rPr>
              <w:t>评分因素</w:t>
            </w:r>
          </w:p>
          <w:p>
            <w:pPr>
              <w:rPr>
                <w:rFonts w:ascii="宋体"/>
                <w:kern w:val="0"/>
                <w:szCs w:val="21"/>
              </w:rPr>
            </w:pPr>
            <w:r>
              <w:rPr>
                <w:rFonts w:hint="eastAsia" w:ascii="宋体"/>
                <w:kern w:val="0"/>
                <w:szCs w:val="21"/>
              </w:rPr>
              <w:t>及权重</w:t>
            </w:r>
          </w:p>
        </w:tc>
        <w:tc>
          <w:tcPr>
            <w:tcW w:w="442" w:type="pct"/>
            <w:vAlign w:val="center"/>
          </w:tcPr>
          <w:p>
            <w:pPr>
              <w:rPr>
                <w:rFonts w:ascii="宋体"/>
                <w:kern w:val="0"/>
                <w:szCs w:val="21"/>
              </w:rPr>
            </w:pPr>
            <w:r>
              <w:rPr>
                <w:rFonts w:hint="eastAsia" w:ascii="宋体"/>
                <w:kern w:val="0"/>
                <w:szCs w:val="21"/>
              </w:rPr>
              <w:t>分值</w:t>
            </w:r>
          </w:p>
        </w:tc>
        <w:tc>
          <w:tcPr>
            <w:tcW w:w="2424" w:type="pct"/>
            <w:gridSpan w:val="2"/>
            <w:vAlign w:val="center"/>
          </w:tcPr>
          <w:p>
            <w:pPr>
              <w:ind w:firstLine="420" w:firstLineChars="200"/>
              <w:jc w:val="center"/>
              <w:rPr>
                <w:rFonts w:ascii="宋体"/>
                <w:kern w:val="0"/>
                <w:szCs w:val="21"/>
              </w:rPr>
            </w:pPr>
            <w:r>
              <w:rPr>
                <w:rFonts w:hint="eastAsia" w:ascii="宋体"/>
                <w:kern w:val="0"/>
                <w:szCs w:val="21"/>
              </w:rPr>
              <w:t>评分标准</w:t>
            </w:r>
          </w:p>
        </w:tc>
        <w:tc>
          <w:tcPr>
            <w:tcW w:w="1212" w:type="pct"/>
            <w:vAlign w:val="center"/>
          </w:tcPr>
          <w:p>
            <w:pPr>
              <w:ind w:firstLine="420" w:firstLineChars="200"/>
              <w:jc w:val="center"/>
              <w:rPr>
                <w:rFonts w:ascii="宋体"/>
                <w:kern w:val="0"/>
                <w:szCs w:val="21"/>
              </w:rPr>
            </w:pPr>
            <w:r>
              <w:rPr>
                <w:rFonts w:hint="eastAsia" w:ascii="宋体"/>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pPr>
              <w:ind w:firstLine="420" w:firstLineChars="200"/>
              <w:rPr>
                <w:rFonts w:ascii="宋体"/>
                <w:kern w:val="0"/>
                <w:szCs w:val="21"/>
              </w:rPr>
            </w:pPr>
            <w:r>
              <w:rPr>
                <w:rFonts w:hint="eastAsia" w:ascii="宋体"/>
                <w:kern w:val="0"/>
                <w:szCs w:val="21"/>
              </w:rPr>
              <w:t>1</w:t>
            </w:r>
          </w:p>
        </w:tc>
        <w:tc>
          <w:tcPr>
            <w:tcW w:w="664" w:type="pct"/>
            <w:vAlign w:val="center"/>
          </w:tcPr>
          <w:p>
            <w:pPr>
              <w:rPr>
                <w:rFonts w:ascii="宋体"/>
                <w:kern w:val="0"/>
                <w:szCs w:val="21"/>
              </w:rPr>
            </w:pPr>
            <w:r>
              <w:rPr>
                <w:rFonts w:hint="eastAsia" w:ascii="宋体"/>
                <w:kern w:val="0"/>
                <w:szCs w:val="21"/>
              </w:rPr>
              <w:t>投标报价</w:t>
            </w:r>
          </w:p>
          <w:p>
            <w:pPr>
              <w:rPr>
                <w:rFonts w:ascii="宋体"/>
                <w:kern w:val="0"/>
                <w:szCs w:val="21"/>
              </w:rPr>
            </w:pPr>
            <w:r>
              <w:rPr>
                <w:rFonts w:hint="eastAsia" w:ascii="宋体"/>
                <w:kern w:val="0"/>
                <w:szCs w:val="21"/>
              </w:rPr>
              <w:t>（35%）</w:t>
            </w:r>
          </w:p>
        </w:tc>
        <w:tc>
          <w:tcPr>
            <w:tcW w:w="442" w:type="pct"/>
            <w:vAlign w:val="center"/>
          </w:tcPr>
          <w:p>
            <w:pPr>
              <w:rPr>
                <w:rFonts w:ascii="宋体"/>
                <w:kern w:val="0"/>
                <w:szCs w:val="21"/>
              </w:rPr>
            </w:pPr>
            <w:r>
              <w:rPr>
                <w:rFonts w:hint="eastAsia" w:ascii="宋体"/>
                <w:kern w:val="0"/>
                <w:szCs w:val="21"/>
              </w:rPr>
              <w:t>35</w:t>
            </w:r>
          </w:p>
        </w:tc>
        <w:tc>
          <w:tcPr>
            <w:tcW w:w="2424" w:type="pct"/>
            <w:gridSpan w:val="2"/>
            <w:vAlign w:val="center"/>
          </w:tcPr>
          <w:p>
            <w:pPr>
              <w:rPr>
                <w:rFonts w:ascii="宋体"/>
                <w:kern w:val="0"/>
                <w:szCs w:val="21"/>
              </w:rPr>
            </w:pPr>
            <w:r>
              <w:rPr>
                <w:rFonts w:hint="eastAsia" w:ascii="宋体"/>
                <w:kern w:val="0"/>
                <w:szCs w:val="21"/>
              </w:rPr>
              <w:t>有效的投标报价中的最低价为评标基准价，按照下列公式计算每个投标人的投标价格得分。</w:t>
            </w:r>
          </w:p>
          <w:p>
            <w:pPr>
              <w:rPr>
                <w:rFonts w:ascii="宋体"/>
                <w:kern w:val="0"/>
                <w:szCs w:val="21"/>
                <w:highlight w:val="yellow"/>
              </w:rPr>
            </w:pPr>
            <w:r>
              <w:rPr>
                <w:rFonts w:hint="eastAsia" w:ascii="宋体"/>
                <w:kern w:val="0"/>
                <w:szCs w:val="21"/>
              </w:rPr>
              <w:t>投标报价得分＝（评标基准价/投标报价）×价格权重×100。</w:t>
            </w:r>
          </w:p>
        </w:tc>
        <w:tc>
          <w:tcPr>
            <w:tcW w:w="1212" w:type="pct"/>
            <w:vAlign w:val="center"/>
          </w:tcPr>
          <w:p>
            <w:pPr>
              <w:ind w:firstLine="480" w:firstLineChars="200"/>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pPr>
              <w:ind w:firstLine="480" w:firstLineChars="200"/>
              <w:rPr>
                <w:rFonts w:ascii="宋体"/>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58" w:type="pct"/>
            <w:vMerge w:val="restart"/>
            <w:vAlign w:val="center"/>
          </w:tcPr>
          <w:p>
            <w:pPr>
              <w:ind w:firstLine="480" w:firstLineChars="200"/>
              <w:rPr>
                <w:rFonts w:ascii="宋体"/>
                <w:color w:val="FF0000"/>
                <w:kern w:val="0"/>
                <w:sz w:val="24"/>
              </w:rPr>
            </w:pPr>
          </w:p>
        </w:tc>
        <w:tc>
          <w:tcPr>
            <w:tcW w:w="664" w:type="pct"/>
            <w:vMerge w:val="restart"/>
            <w:vAlign w:val="center"/>
          </w:tcPr>
          <w:p>
            <w:pPr>
              <w:rPr>
                <w:rFonts w:ascii="宋体"/>
                <w:color w:val="FF0000"/>
                <w:kern w:val="0"/>
                <w:sz w:val="24"/>
              </w:rPr>
            </w:pPr>
            <w:r>
              <w:rPr>
                <w:rFonts w:hint="eastAsia" w:ascii="宋体"/>
                <w:kern w:val="0"/>
                <w:szCs w:val="21"/>
              </w:rPr>
              <w:t>技术部分（20%）</w:t>
            </w:r>
          </w:p>
        </w:tc>
        <w:tc>
          <w:tcPr>
            <w:tcW w:w="442" w:type="pct"/>
            <w:vAlign w:val="center"/>
          </w:tcPr>
          <w:p>
            <w:pPr>
              <w:ind w:firstLine="174" w:firstLineChars="83"/>
              <w:rPr>
                <w:rFonts w:ascii="宋体"/>
                <w:color w:val="FF0000"/>
                <w:kern w:val="0"/>
                <w:sz w:val="24"/>
              </w:rPr>
            </w:pPr>
            <w:r>
              <w:rPr>
                <w:rFonts w:hint="eastAsia" w:ascii="宋体"/>
                <w:kern w:val="0"/>
                <w:szCs w:val="21"/>
              </w:rPr>
              <w:t>5</w:t>
            </w:r>
          </w:p>
        </w:tc>
        <w:tc>
          <w:tcPr>
            <w:tcW w:w="2424" w:type="pct"/>
            <w:gridSpan w:val="2"/>
            <w:vAlign w:val="center"/>
          </w:tcPr>
          <w:p>
            <w:pPr>
              <w:ind w:firstLine="210" w:firstLineChars="100"/>
              <w:rPr>
                <w:rFonts w:ascii="宋体"/>
                <w:kern w:val="0"/>
                <w:szCs w:val="21"/>
              </w:rPr>
            </w:pPr>
            <w:r>
              <w:rPr>
                <w:rFonts w:hint="eastAsia" w:ascii="宋体"/>
                <w:kern w:val="0"/>
                <w:szCs w:val="21"/>
              </w:rPr>
              <w:t>1</w:t>
            </w:r>
            <w:r>
              <w:rPr>
                <w:rFonts w:ascii="宋体"/>
                <w:kern w:val="0"/>
                <w:szCs w:val="21"/>
              </w:rPr>
              <w:t>.</w:t>
            </w:r>
            <w:r>
              <w:rPr>
                <w:rFonts w:hint="eastAsia" w:ascii="宋体"/>
                <w:kern w:val="0"/>
                <w:szCs w:val="21"/>
              </w:rPr>
              <w:t>运行维护方案（含运行维护的组织架构、人员安排保障、后勤保障、运行管理、质量保障等），方案完整、详细,体现对采购人需求的深入理解，架构兼容性好，充分利用现有的资源，所用技术成熟先进，具有较强的可操作性。（5分）</w:t>
            </w:r>
          </w:p>
          <w:p>
            <w:pPr>
              <w:ind w:firstLine="210" w:firstLineChars="100"/>
              <w:rPr>
                <w:rFonts w:ascii="宋体"/>
                <w:kern w:val="0"/>
                <w:szCs w:val="21"/>
              </w:rPr>
            </w:pPr>
            <w:r>
              <w:rPr>
                <w:rFonts w:hint="eastAsia" w:ascii="宋体"/>
                <w:kern w:val="0"/>
                <w:szCs w:val="21"/>
              </w:rPr>
              <w:t>1）方案完整详细、科学、合理，适用性、针对性程度高，完全满足采购人实际需求的得5分；</w:t>
            </w:r>
          </w:p>
          <w:p>
            <w:pPr>
              <w:spacing w:after="120"/>
              <w:ind w:firstLine="210" w:firstLineChars="100"/>
              <w:rPr>
                <w:rFonts w:ascii="宋体"/>
                <w:kern w:val="0"/>
                <w:szCs w:val="21"/>
              </w:rPr>
            </w:pPr>
            <w:r>
              <w:rPr>
                <w:rFonts w:hint="eastAsia" w:ascii="宋体"/>
                <w:kern w:val="0"/>
                <w:szCs w:val="21"/>
              </w:rPr>
              <w:t>（2）方案较完整详细、较合理，满足采购人需求的得3分；</w:t>
            </w:r>
          </w:p>
          <w:p>
            <w:pPr>
              <w:spacing w:after="120"/>
              <w:ind w:firstLine="210" w:firstLineChars="100"/>
              <w:rPr>
                <w:rFonts w:ascii="宋体"/>
                <w:kern w:val="0"/>
                <w:szCs w:val="21"/>
              </w:rPr>
            </w:pPr>
            <w:r>
              <w:rPr>
                <w:rFonts w:hint="eastAsia" w:ascii="宋体"/>
                <w:kern w:val="0"/>
                <w:szCs w:val="21"/>
              </w:rPr>
              <w:t>（3）方案一般详细或基本满足采购人需求的得1分；</w:t>
            </w:r>
          </w:p>
          <w:p>
            <w:pPr>
              <w:spacing w:line="260" w:lineRule="exact"/>
              <w:ind w:firstLine="210" w:firstLineChars="100"/>
              <w:rPr>
                <w:rFonts w:ascii="宋体"/>
                <w:kern w:val="0"/>
                <w:szCs w:val="21"/>
              </w:rPr>
            </w:pPr>
            <w:r>
              <w:rPr>
                <w:rFonts w:hint="eastAsia" w:ascii="宋体"/>
                <w:kern w:val="0"/>
                <w:szCs w:val="21"/>
              </w:rPr>
              <w:t>（4）未提供方案或不满足采购人需求的得0分</w:t>
            </w:r>
          </w:p>
        </w:tc>
        <w:tc>
          <w:tcPr>
            <w:tcW w:w="1212" w:type="pct"/>
            <w:vMerge w:val="restart"/>
            <w:vAlign w:val="center"/>
          </w:tcPr>
          <w:p>
            <w:pPr>
              <w:ind w:firstLine="10" w:firstLineChars="5"/>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58" w:type="pct"/>
            <w:vMerge w:val="continue"/>
            <w:vAlign w:val="center"/>
          </w:tcPr>
          <w:p>
            <w:pPr>
              <w:ind w:firstLine="480" w:firstLineChars="200"/>
              <w:rPr>
                <w:rFonts w:ascii="宋体"/>
                <w:color w:val="FF0000"/>
                <w:kern w:val="0"/>
                <w:sz w:val="24"/>
              </w:rPr>
            </w:pPr>
          </w:p>
        </w:tc>
        <w:tc>
          <w:tcPr>
            <w:tcW w:w="664" w:type="pct"/>
            <w:vMerge w:val="continue"/>
            <w:vAlign w:val="center"/>
          </w:tcPr>
          <w:p>
            <w:pPr>
              <w:ind w:firstLine="480" w:firstLineChars="200"/>
              <w:rPr>
                <w:rFonts w:ascii="宋体"/>
                <w:color w:val="FF0000"/>
                <w:kern w:val="0"/>
                <w:sz w:val="24"/>
              </w:rPr>
            </w:pPr>
          </w:p>
        </w:tc>
        <w:tc>
          <w:tcPr>
            <w:tcW w:w="442" w:type="pct"/>
            <w:vAlign w:val="center"/>
          </w:tcPr>
          <w:p>
            <w:pPr>
              <w:ind w:firstLine="199" w:firstLineChars="83"/>
              <w:rPr>
                <w:rFonts w:ascii="宋体"/>
                <w:color w:val="FF0000"/>
                <w:kern w:val="0"/>
                <w:sz w:val="24"/>
              </w:rPr>
            </w:pPr>
            <w:r>
              <w:rPr>
                <w:rFonts w:hint="eastAsia" w:ascii="宋体"/>
                <w:color w:val="FF0000"/>
                <w:kern w:val="0"/>
                <w:sz w:val="24"/>
              </w:rPr>
              <w:t>5</w:t>
            </w:r>
          </w:p>
        </w:tc>
        <w:tc>
          <w:tcPr>
            <w:tcW w:w="2424" w:type="pct"/>
            <w:gridSpan w:val="2"/>
            <w:vAlign w:val="center"/>
          </w:tcPr>
          <w:p>
            <w:pPr>
              <w:ind w:firstLine="210" w:firstLineChars="100"/>
              <w:rPr>
                <w:rFonts w:ascii="宋体"/>
                <w:kern w:val="0"/>
                <w:szCs w:val="21"/>
              </w:rPr>
            </w:pPr>
            <w:r>
              <w:rPr>
                <w:rFonts w:ascii="宋体"/>
                <w:kern w:val="0"/>
                <w:szCs w:val="21"/>
              </w:rPr>
              <w:t>2</w:t>
            </w:r>
            <w:r>
              <w:rPr>
                <w:rFonts w:hint="eastAsia" w:ascii="宋体"/>
                <w:kern w:val="0"/>
                <w:szCs w:val="21"/>
              </w:rPr>
              <w:t>.运行维护管理相关制度详细、健全、合理、有效（岗位考核、现场巡查、应急安全等）。（5分）</w:t>
            </w:r>
          </w:p>
          <w:p>
            <w:pPr>
              <w:ind w:firstLine="210" w:firstLineChars="100"/>
              <w:rPr>
                <w:rFonts w:ascii="宋体"/>
                <w:kern w:val="0"/>
                <w:szCs w:val="21"/>
              </w:rPr>
            </w:pPr>
            <w:r>
              <w:rPr>
                <w:rFonts w:hint="eastAsia" w:ascii="宋体"/>
                <w:kern w:val="0"/>
                <w:szCs w:val="21"/>
              </w:rPr>
              <w:t>1）方案完整详细、科学、合理，适用性、针对性程度高，完全满足采购人实际需求的得5分；</w:t>
            </w:r>
          </w:p>
          <w:p>
            <w:pPr>
              <w:spacing w:after="120"/>
              <w:ind w:firstLine="210" w:firstLineChars="100"/>
              <w:rPr>
                <w:rFonts w:ascii="宋体"/>
                <w:kern w:val="0"/>
                <w:szCs w:val="21"/>
              </w:rPr>
            </w:pPr>
            <w:r>
              <w:rPr>
                <w:rFonts w:hint="eastAsia" w:ascii="宋体"/>
                <w:kern w:val="0"/>
                <w:szCs w:val="21"/>
              </w:rPr>
              <w:t>（2）方案较完整详细、较合理，满足采购人需求的得3分；</w:t>
            </w:r>
          </w:p>
          <w:p>
            <w:pPr>
              <w:spacing w:after="120"/>
              <w:ind w:firstLine="210" w:firstLineChars="100"/>
              <w:rPr>
                <w:rFonts w:ascii="宋体"/>
                <w:kern w:val="0"/>
                <w:szCs w:val="21"/>
              </w:rPr>
            </w:pPr>
            <w:r>
              <w:rPr>
                <w:rFonts w:hint="eastAsia" w:ascii="宋体"/>
                <w:kern w:val="0"/>
                <w:szCs w:val="21"/>
              </w:rPr>
              <w:t>（3）方案一般详细或基本满足采购人需求的得1分；</w:t>
            </w:r>
          </w:p>
          <w:p>
            <w:pPr>
              <w:rPr>
                <w:rFonts w:ascii="宋体"/>
                <w:kern w:val="0"/>
                <w:szCs w:val="21"/>
              </w:rPr>
            </w:pPr>
            <w:r>
              <w:rPr>
                <w:rFonts w:hint="eastAsia" w:ascii="宋体"/>
                <w:kern w:val="0"/>
                <w:szCs w:val="21"/>
              </w:rPr>
              <w:t>（4）未提供方案或不满足采购人需求的得0分</w:t>
            </w:r>
          </w:p>
        </w:tc>
        <w:tc>
          <w:tcPr>
            <w:tcW w:w="1212" w:type="pct"/>
            <w:vMerge w:val="continue"/>
            <w:vAlign w:val="center"/>
          </w:tcPr>
          <w:p>
            <w:pPr>
              <w:ind w:firstLine="10" w:firstLineChars="5"/>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258" w:type="pct"/>
            <w:vMerge w:val="continue"/>
            <w:vAlign w:val="center"/>
          </w:tcPr>
          <w:p>
            <w:pPr>
              <w:ind w:firstLine="480" w:firstLineChars="200"/>
              <w:rPr>
                <w:rFonts w:ascii="宋体"/>
                <w:color w:val="FF0000"/>
                <w:kern w:val="0"/>
                <w:sz w:val="24"/>
              </w:rPr>
            </w:pPr>
          </w:p>
        </w:tc>
        <w:tc>
          <w:tcPr>
            <w:tcW w:w="664" w:type="pct"/>
            <w:vMerge w:val="continue"/>
            <w:vAlign w:val="center"/>
          </w:tcPr>
          <w:p>
            <w:pPr>
              <w:ind w:firstLine="480" w:firstLineChars="200"/>
              <w:rPr>
                <w:rFonts w:ascii="宋体"/>
                <w:color w:val="FF0000"/>
                <w:kern w:val="0"/>
                <w:sz w:val="24"/>
              </w:rPr>
            </w:pPr>
          </w:p>
        </w:tc>
        <w:tc>
          <w:tcPr>
            <w:tcW w:w="442" w:type="pct"/>
            <w:vAlign w:val="center"/>
          </w:tcPr>
          <w:p>
            <w:pPr>
              <w:ind w:firstLine="199" w:firstLineChars="83"/>
              <w:rPr>
                <w:rFonts w:ascii="宋体"/>
                <w:color w:val="FF0000"/>
                <w:kern w:val="0"/>
                <w:sz w:val="24"/>
              </w:rPr>
            </w:pPr>
            <w:r>
              <w:rPr>
                <w:rFonts w:hint="eastAsia" w:ascii="宋体"/>
                <w:color w:val="FF0000"/>
                <w:kern w:val="0"/>
                <w:sz w:val="24"/>
              </w:rPr>
              <w:t>10</w:t>
            </w:r>
          </w:p>
        </w:tc>
        <w:tc>
          <w:tcPr>
            <w:tcW w:w="2424" w:type="pct"/>
            <w:gridSpan w:val="2"/>
            <w:vAlign w:val="center"/>
          </w:tcPr>
          <w:p>
            <w:pPr>
              <w:widowControl/>
              <w:numPr>
                <w:ilvl w:val="0"/>
                <w:numId w:val="1"/>
              </w:numPr>
              <w:autoSpaceDE w:val="0"/>
              <w:autoSpaceDN w:val="0"/>
              <w:adjustRightInd w:val="0"/>
              <w:spacing w:line="280" w:lineRule="exact"/>
              <w:ind w:firstLine="210" w:firstLineChars="100"/>
              <w:jc w:val="left"/>
              <w:rPr>
                <w:rFonts w:ascii="宋体"/>
                <w:kern w:val="0"/>
                <w:szCs w:val="21"/>
              </w:rPr>
            </w:pPr>
            <w:r>
              <w:rPr>
                <w:rFonts w:hint="eastAsia" w:ascii="宋体"/>
                <w:kern w:val="0"/>
                <w:szCs w:val="21"/>
              </w:rPr>
              <w:t>消毒剂企业能力评定：（5分）</w:t>
            </w:r>
          </w:p>
          <w:p>
            <w:pPr>
              <w:rPr>
                <w:rFonts w:ascii="宋体"/>
                <w:kern w:val="0"/>
                <w:szCs w:val="21"/>
              </w:rPr>
            </w:pPr>
            <w:r>
              <w:rPr>
                <w:rFonts w:hint="eastAsia" w:ascii="宋体"/>
                <w:kern w:val="0"/>
                <w:szCs w:val="21"/>
              </w:rPr>
              <w:t>投标人需提供拟投入本项目使用的消毒剂生产企业的产品检验合格证书、检测报告、备案证明。提供得5分，最高得5分，不提供或提供不全不得分。</w:t>
            </w:r>
          </w:p>
          <w:p>
            <w:pPr>
              <w:rPr>
                <w:rFonts w:ascii="宋体"/>
                <w:kern w:val="0"/>
                <w:szCs w:val="21"/>
              </w:rPr>
            </w:pPr>
            <w:r>
              <w:rPr>
                <w:rFonts w:hint="eastAsia" w:ascii="宋体"/>
                <w:kern w:val="0"/>
                <w:szCs w:val="21"/>
              </w:rPr>
              <w:t>4.工伤保险：（5分）</w:t>
            </w:r>
          </w:p>
          <w:p>
            <w:pPr>
              <w:rPr>
                <w:rFonts w:ascii="宋体"/>
                <w:kern w:val="0"/>
                <w:szCs w:val="21"/>
              </w:rPr>
            </w:pPr>
            <w:r>
              <w:rPr>
                <w:rFonts w:hint="eastAsia" w:ascii="宋体"/>
                <w:kern w:val="0"/>
                <w:szCs w:val="21"/>
              </w:rPr>
              <w:t>服务商应依照有关法律规定参加工伤保险，为其履行本项目合同所雇佣的全部人员，缴纳工伤保险费的，并提供拟派人员名单，得5分。不提供或提供不全不得分</w:t>
            </w:r>
          </w:p>
        </w:tc>
        <w:tc>
          <w:tcPr>
            <w:tcW w:w="1212" w:type="pct"/>
            <w:vAlign w:val="center"/>
          </w:tcPr>
          <w:p>
            <w:pPr>
              <w:ind w:firstLine="10" w:firstLineChars="5"/>
              <w:rPr>
                <w:rFonts w:ascii="宋体"/>
                <w:kern w:val="0"/>
                <w:szCs w:val="21"/>
              </w:rPr>
            </w:pPr>
            <w:r>
              <w:rPr>
                <w:rFonts w:hint="eastAsia" w:ascii="宋体"/>
                <w:kern w:val="0"/>
                <w:szCs w:val="21"/>
              </w:rPr>
              <w:t>1、提供相关证明文件及检测报告，加盖</w:t>
            </w:r>
            <w:r>
              <w:rPr>
                <w:rFonts w:ascii="宋体"/>
                <w:kern w:val="0"/>
                <w:szCs w:val="21"/>
              </w:rPr>
              <w:t>投标人</w:t>
            </w:r>
            <w:r>
              <w:rPr>
                <w:rFonts w:hint="eastAsia" w:ascii="宋体"/>
                <w:kern w:val="0"/>
                <w:szCs w:val="21"/>
              </w:rPr>
              <w:t>鲜章。2、</w:t>
            </w:r>
            <w:r>
              <w:rPr>
                <w:rFonts w:ascii="宋体"/>
                <w:kern w:val="0"/>
                <w:szCs w:val="21"/>
              </w:rPr>
              <w:t>投标人在投标截止日当月或上一月为派往本项目人员</w:t>
            </w:r>
            <w:r>
              <w:rPr>
                <w:rFonts w:hint="eastAsia" w:ascii="宋体"/>
                <w:kern w:val="0"/>
                <w:szCs w:val="21"/>
              </w:rPr>
              <w:t>参加工伤保险证明，加盖</w:t>
            </w:r>
            <w:r>
              <w:rPr>
                <w:rFonts w:ascii="宋体"/>
                <w:kern w:val="0"/>
                <w:szCs w:val="21"/>
              </w:rPr>
              <w:t>投标人</w:t>
            </w:r>
            <w:r>
              <w:rPr>
                <w:rFonts w:hint="eastAsia" w:ascii="宋体"/>
                <w:kern w:val="0"/>
                <w:szCs w:val="21"/>
              </w:rPr>
              <w:t>鲜章，原件开评标现场备查。以上证明材料不提供或提供不全不得分。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000" w:type="pct"/>
            <w:gridSpan w:val="6"/>
            <w:vAlign w:val="center"/>
          </w:tcPr>
          <w:p>
            <w:pPr>
              <w:ind w:firstLine="420" w:firstLineChars="200"/>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Merge w:val="restart"/>
            <w:vAlign w:val="center"/>
          </w:tcPr>
          <w:p>
            <w:pPr>
              <w:ind w:firstLine="480" w:firstLineChars="200"/>
              <w:rPr>
                <w:rFonts w:ascii="宋体"/>
                <w:kern w:val="0"/>
                <w:sz w:val="24"/>
              </w:rPr>
            </w:pPr>
            <w:r>
              <w:rPr>
                <w:rFonts w:hint="eastAsia" w:ascii="宋体"/>
                <w:kern w:val="0"/>
                <w:sz w:val="24"/>
              </w:rPr>
              <w:t>3</w:t>
            </w:r>
          </w:p>
        </w:tc>
        <w:tc>
          <w:tcPr>
            <w:tcW w:w="664" w:type="pct"/>
            <w:vMerge w:val="restart"/>
            <w:vAlign w:val="center"/>
          </w:tcPr>
          <w:p>
            <w:pPr>
              <w:rPr>
                <w:rFonts w:ascii="宋体"/>
                <w:kern w:val="0"/>
                <w:sz w:val="24"/>
              </w:rPr>
            </w:pPr>
            <w:r>
              <w:rPr>
                <w:rFonts w:hint="eastAsia" w:ascii="宋体"/>
                <w:kern w:val="0"/>
                <w:sz w:val="24"/>
              </w:rPr>
              <w:t>商务部分</w:t>
            </w:r>
          </w:p>
          <w:p>
            <w:pPr>
              <w:rPr>
                <w:rFonts w:ascii="宋体"/>
                <w:kern w:val="0"/>
                <w:sz w:val="24"/>
              </w:rPr>
            </w:pPr>
            <w:r>
              <w:rPr>
                <w:rFonts w:hint="eastAsia" w:ascii="宋体"/>
                <w:kern w:val="0"/>
                <w:sz w:val="24"/>
              </w:rPr>
              <w:t>（45%）</w:t>
            </w:r>
          </w:p>
        </w:tc>
        <w:tc>
          <w:tcPr>
            <w:tcW w:w="680" w:type="pct"/>
            <w:gridSpan w:val="2"/>
            <w:vAlign w:val="center"/>
          </w:tcPr>
          <w:p>
            <w:pPr>
              <w:rPr>
                <w:rFonts w:ascii="宋体"/>
                <w:kern w:val="0"/>
                <w:szCs w:val="21"/>
              </w:rPr>
            </w:pPr>
            <w:r>
              <w:rPr>
                <w:rFonts w:hint="eastAsia" w:ascii="宋体"/>
                <w:kern w:val="0"/>
                <w:szCs w:val="21"/>
              </w:rPr>
              <w:t>15</w:t>
            </w:r>
          </w:p>
        </w:tc>
        <w:tc>
          <w:tcPr>
            <w:tcW w:w="2186" w:type="pct"/>
            <w:vAlign w:val="center"/>
          </w:tcPr>
          <w:p>
            <w:pPr>
              <w:rPr>
                <w:rFonts w:ascii="宋体"/>
                <w:kern w:val="0"/>
                <w:szCs w:val="21"/>
              </w:rPr>
            </w:pPr>
            <w:r>
              <w:rPr>
                <w:rFonts w:hint="eastAsia" w:ascii="宋体"/>
                <w:kern w:val="0"/>
                <w:szCs w:val="21"/>
              </w:rPr>
              <w:t>1、2018年1月1日以来以签订时间为准，投标人有二级及以上医院，独立承担污水处理设施运营管理服务履约经验，每具备1个履约经验的得2分，本项最多得6分。</w:t>
            </w:r>
          </w:p>
          <w:p>
            <w:pPr>
              <w:rPr>
                <w:rFonts w:ascii="宋体"/>
                <w:kern w:val="0"/>
                <w:szCs w:val="21"/>
              </w:rPr>
            </w:pPr>
            <w:r>
              <w:rPr>
                <w:rFonts w:hint="eastAsia" w:ascii="宋体"/>
                <w:kern w:val="0"/>
                <w:szCs w:val="21"/>
              </w:rPr>
              <w:t>2、2018年1月1日以来以签订时间为准，投标人有二级及以上医院，有污水处理治理工程经验的，每具备1项的得2分，本项最多得5分。</w:t>
            </w:r>
          </w:p>
          <w:p>
            <w:pPr>
              <w:rPr>
                <w:rFonts w:ascii="宋体"/>
                <w:kern w:val="0"/>
                <w:szCs w:val="21"/>
              </w:rPr>
            </w:pPr>
            <w:r>
              <w:rPr>
                <w:rFonts w:hint="eastAsia" w:ascii="宋体"/>
                <w:kern w:val="0"/>
                <w:szCs w:val="21"/>
              </w:rPr>
              <w:t>3、2018年1月1日以来以签订时间为准，投标人有独立承担污水处理200t/d以上的管理服务履约经验，每具备1个履约经验的得2分，本项最多得4分。</w:t>
            </w:r>
          </w:p>
        </w:tc>
        <w:tc>
          <w:tcPr>
            <w:tcW w:w="1212" w:type="pct"/>
            <w:vAlign w:val="center"/>
          </w:tcPr>
          <w:p>
            <w:pPr>
              <w:ind w:firstLine="10" w:firstLineChars="5"/>
              <w:rPr>
                <w:rFonts w:ascii="宋体"/>
                <w:kern w:val="0"/>
                <w:szCs w:val="21"/>
              </w:rPr>
            </w:pPr>
            <w:r>
              <w:rPr>
                <w:rFonts w:hint="eastAsia" w:ascii="宋体"/>
                <w:kern w:val="0"/>
                <w:szCs w:val="21"/>
              </w:rPr>
              <w:t>1.提供合同复印件。</w:t>
            </w:r>
          </w:p>
          <w:p>
            <w:pPr>
              <w:ind w:firstLine="10" w:firstLineChars="5"/>
              <w:rPr>
                <w:rFonts w:ascii="宋体"/>
                <w:kern w:val="0"/>
                <w:szCs w:val="21"/>
              </w:rPr>
            </w:pPr>
            <w:r>
              <w:rPr>
                <w:rFonts w:hint="eastAsia" w:ascii="宋体"/>
                <w:kern w:val="0"/>
                <w:szCs w:val="21"/>
              </w:rPr>
              <w:t>加盖</w:t>
            </w:r>
            <w:r>
              <w:rPr>
                <w:rFonts w:ascii="宋体"/>
                <w:kern w:val="0"/>
                <w:szCs w:val="21"/>
              </w:rPr>
              <w:t>投标人</w:t>
            </w:r>
            <w:r>
              <w:rPr>
                <w:rFonts w:hint="eastAsia" w:ascii="宋体"/>
                <w:kern w:val="0"/>
                <w:szCs w:val="21"/>
              </w:rPr>
              <w:t>鲜章。原件备查，未提供或核查原件时无原件的，不计分。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58" w:type="pct"/>
            <w:vMerge w:val="continue"/>
            <w:vAlign w:val="center"/>
          </w:tcPr>
          <w:p>
            <w:pPr>
              <w:ind w:firstLine="480" w:firstLineChars="200"/>
              <w:rPr>
                <w:rFonts w:ascii="宋体"/>
                <w:kern w:val="0"/>
                <w:sz w:val="24"/>
              </w:rPr>
            </w:pPr>
          </w:p>
        </w:tc>
        <w:tc>
          <w:tcPr>
            <w:tcW w:w="664" w:type="pct"/>
            <w:vMerge w:val="continue"/>
            <w:vAlign w:val="center"/>
          </w:tcPr>
          <w:p>
            <w:pPr>
              <w:ind w:firstLine="480" w:firstLineChars="200"/>
              <w:rPr>
                <w:rFonts w:ascii="宋体"/>
                <w:kern w:val="0"/>
                <w:sz w:val="24"/>
              </w:rPr>
            </w:pPr>
          </w:p>
        </w:tc>
        <w:tc>
          <w:tcPr>
            <w:tcW w:w="680" w:type="pct"/>
            <w:gridSpan w:val="2"/>
            <w:vAlign w:val="center"/>
          </w:tcPr>
          <w:p>
            <w:pPr>
              <w:rPr>
                <w:rFonts w:ascii="宋体"/>
                <w:kern w:val="0"/>
                <w:szCs w:val="21"/>
              </w:rPr>
            </w:pPr>
            <w:r>
              <w:rPr>
                <w:rFonts w:hint="eastAsia" w:ascii="宋体"/>
                <w:kern w:val="0"/>
                <w:szCs w:val="21"/>
              </w:rPr>
              <w:t>9</w:t>
            </w:r>
          </w:p>
        </w:tc>
        <w:tc>
          <w:tcPr>
            <w:tcW w:w="2186" w:type="pct"/>
            <w:vAlign w:val="center"/>
          </w:tcPr>
          <w:p>
            <w:pPr>
              <w:rPr>
                <w:rFonts w:ascii="宋体"/>
                <w:kern w:val="0"/>
                <w:szCs w:val="21"/>
              </w:rPr>
            </w:pPr>
            <w:r>
              <w:rPr>
                <w:rFonts w:hint="eastAsia" w:ascii="宋体"/>
                <w:kern w:val="0"/>
                <w:szCs w:val="21"/>
              </w:rPr>
              <w:t>1.投标人具有有效的ISO9001质量管理体系认证证书的得3分，未提供不得分；</w:t>
            </w:r>
          </w:p>
          <w:p>
            <w:pPr>
              <w:rPr>
                <w:rFonts w:ascii="宋体"/>
                <w:kern w:val="0"/>
                <w:szCs w:val="21"/>
              </w:rPr>
            </w:pPr>
            <w:r>
              <w:rPr>
                <w:rFonts w:hint="eastAsia" w:ascii="宋体"/>
                <w:kern w:val="0"/>
                <w:szCs w:val="21"/>
              </w:rPr>
              <w:t>2.投标人具有有效的ISO14001环境管理体系认证证书的得3分，未提供不得分；</w:t>
            </w:r>
          </w:p>
          <w:p>
            <w:pPr>
              <w:rPr>
                <w:rFonts w:ascii="宋体"/>
                <w:kern w:val="0"/>
                <w:szCs w:val="21"/>
              </w:rPr>
            </w:pPr>
            <w:r>
              <w:rPr>
                <w:rFonts w:hint="eastAsia" w:ascii="宋体"/>
                <w:kern w:val="0"/>
                <w:szCs w:val="21"/>
              </w:rPr>
              <w:t>3.投标人具有有效的ISO 45001职业健康安全管理体系认证证书的得3分，未提供不得分；</w:t>
            </w:r>
          </w:p>
        </w:tc>
        <w:tc>
          <w:tcPr>
            <w:tcW w:w="1212" w:type="pct"/>
            <w:vAlign w:val="center"/>
          </w:tcPr>
          <w:p>
            <w:pPr>
              <w:ind w:firstLine="10" w:firstLineChars="5"/>
              <w:rPr>
                <w:rFonts w:ascii="宋体"/>
                <w:kern w:val="0"/>
                <w:szCs w:val="21"/>
              </w:rPr>
            </w:pPr>
            <w:r>
              <w:rPr>
                <w:rFonts w:hint="eastAsia" w:ascii="宋体"/>
                <w:kern w:val="0"/>
                <w:szCs w:val="21"/>
              </w:rPr>
              <w:t>提供证书复印件。加盖</w:t>
            </w:r>
            <w:r>
              <w:rPr>
                <w:rFonts w:ascii="宋体"/>
                <w:kern w:val="0"/>
                <w:szCs w:val="21"/>
              </w:rPr>
              <w:t>投标人</w:t>
            </w:r>
            <w:r>
              <w:rPr>
                <w:rFonts w:hint="eastAsia" w:ascii="宋体"/>
                <w:kern w:val="0"/>
                <w:szCs w:val="21"/>
              </w:rPr>
              <w:t>鲜章，原件备查，未提供或核查原件时无原件的，不计分。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58" w:type="pct"/>
            <w:vMerge w:val="continue"/>
            <w:vAlign w:val="center"/>
          </w:tcPr>
          <w:p>
            <w:pPr>
              <w:ind w:firstLine="480" w:firstLineChars="200"/>
              <w:rPr>
                <w:rFonts w:ascii="宋体"/>
                <w:kern w:val="0"/>
                <w:sz w:val="24"/>
              </w:rPr>
            </w:pPr>
          </w:p>
        </w:tc>
        <w:tc>
          <w:tcPr>
            <w:tcW w:w="664" w:type="pct"/>
            <w:vMerge w:val="continue"/>
            <w:vAlign w:val="center"/>
          </w:tcPr>
          <w:p>
            <w:pPr>
              <w:ind w:firstLine="480" w:firstLineChars="200"/>
              <w:rPr>
                <w:rFonts w:ascii="宋体"/>
                <w:kern w:val="0"/>
                <w:sz w:val="24"/>
              </w:rPr>
            </w:pPr>
          </w:p>
        </w:tc>
        <w:tc>
          <w:tcPr>
            <w:tcW w:w="680" w:type="pct"/>
            <w:gridSpan w:val="2"/>
            <w:vAlign w:val="center"/>
          </w:tcPr>
          <w:p>
            <w:pPr>
              <w:ind w:firstLine="174" w:firstLineChars="83"/>
              <w:rPr>
                <w:rFonts w:ascii="宋体"/>
                <w:kern w:val="0"/>
                <w:szCs w:val="21"/>
              </w:rPr>
            </w:pPr>
            <w:r>
              <w:rPr>
                <w:rFonts w:hint="eastAsia" w:ascii="宋体"/>
                <w:kern w:val="0"/>
                <w:szCs w:val="21"/>
              </w:rPr>
              <w:t>5</w:t>
            </w:r>
          </w:p>
        </w:tc>
        <w:tc>
          <w:tcPr>
            <w:tcW w:w="2186" w:type="pct"/>
            <w:vAlign w:val="center"/>
          </w:tcPr>
          <w:p>
            <w:pPr>
              <w:rPr>
                <w:rFonts w:ascii="宋体"/>
                <w:kern w:val="0"/>
                <w:szCs w:val="21"/>
              </w:rPr>
            </w:pPr>
            <w:r>
              <w:rPr>
                <w:rFonts w:hint="eastAsia" w:ascii="宋体"/>
                <w:kern w:val="0"/>
                <w:szCs w:val="21"/>
              </w:rPr>
              <w:t xml:space="preserve">1. 2018—2020年度经审计的财务状况报告，每盈利1年得1分，最多得2分。未提供不得分； </w:t>
            </w:r>
          </w:p>
          <w:p>
            <w:pPr>
              <w:rPr>
                <w:rFonts w:ascii="宋体"/>
                <w:kern w:val="0"/>
                <w:szCs w:val="21"/>
              </w:rPr>
            </w:pPr>
            <w:r>
              <w:rPr>
                <w:rFonts w:hint="eastAsia" w:ascii="宋体"/>
                <w:kern w:val="0"/>
                <w:szCs w:val="21"/>
              </w:rPr>
              <w:t xml:space="preserve">2.投标人近2年纳税人信用等级均被评为A级得3分，B级得2分，C级不得分。                      </w:t>
            </w:r>
          </w:p>
        </w:tc>
        <w:tc>
          <w:tcPr>
            <w:tcW w:w="1212" w:type="pct"/>
            <w:vAlign w:val="center"/>
          </w:tcPr>
          <w:p>
            <w:pPr>
              <w:ind w:firstLine="10" w:firstLineChars="5"/>
              <w:rPr>
                <w:rFonts w:ascii="宋体"/>
                <w:kern w:val="0"/>
                <w:szCs w:val="21"/>
              </w:rPr>
            </w:pPr>
            <w:r>
              <w:rPr>
                <w:rFonts w:hint="eastAsia" w:ascii="宋体"/>
                <w:kern w:val="0"/>
                <w:szCs w:val="21"/>
              </w:rPr>
              <w:t>提供经审计的财务状况报告复印件（加盖鲜章，原件开评标现场备查），未提供不得分。</w:t>
            </w:r>
          </w:p>
          <w:p>
            <w:pPr>
              <w:ind w:firstLine="10" w:firstLineChars="5"/>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58" w:type="pct"/>
            <w:vMerge w:val="continue"/>
            <w:vAlign w:val="center"/>
          </w:tcPr>
          <w:p>
            <w:pPr>
              <w:ind w:firstLine="480" w:firstLineChars="200"/>
              <w:rPr>
                <w:rFonts w:ascii="宋体"/>
                <w:kern w:val="0"/>
                <w:sz w:val="24"/>
              </w:rPr>
            </w:pPr>
          </w:p>
        </w:tc>
        <w:tc>
          <w:tcPr>
            <w:tcW w:w="664" w:type="pct"/>
            <w:vMerge w:val="continue"/>
            <w:vAlign w:val="center"/>
          </w:tcPr>
          <w:p>
            <w:pPr>
              <w:ind w:firstLine="480" w:firstLineChars="200"/>
              <w:rPr>
                <w:rFonts w:ascii="宋体"/>
                <w:kern w:val="0"/>
                <w:sz w:val="24"/>
              </w:rPr>
            </w:pPr>
          </w:p>
        </w:tc>
        <w:tc>
          <w:tcPr>
            <w:tcW w:w="680" w:type="pct"/>
            <w:gridSpan w:val="2"/>
            <w:vAlign w:val="center"/>
          </w:tcPr>
          <w:p>
            <w:pPr>
              <w:ind w:firstLine="174" w:firstLineChars="83"/>
              <w:rPr>
                <w:rFonts w:ascii="宋体"/>
                <w:kern w:val="0"/>
                <w:szCs w:val="21"/>
              </w:rPr>
            </w:pPr>
            <w:r>
              <w:rPr>
                <w:rFonts w:hint="eastAsia" w:ascii="宋体"/>
                <w:kern w:val="0"/>
                <w:szCs w:val="21"/>
              </w:rPr>
              <w:t>16</w:t>
            </w:r>
          </w:p>
        </w:tc>
        <w:tc>
          <w:tcPr>
            <w:tcW w:w="2186" w:type="pct"/>
            <w:vAlign w:val="center"/>
          </w:tcPr>
          <w:p>
            <w:pPr>
              <w:spacing w:line="320" w:lineRule="exact"/>
              <w:rPr>
                <w:rFonts w:ascii="宋体"/>
                <w:kern w:val="0"/>
                <w:szCs w:val="21"/>
              </w:rPr>
            </w:pPr>
            <w:r>
              <w:rPr>
                <w:rFonts w:hint="eastAsia" w:ascii="宋体"/>
                <w:kern w:val="0"/>
                <w:szCs w:val="21"/>
              </w:rPr>
              <w:t>拟派人员：（16）</w:t>
            </w:r>
          </w:p>
          <w:p>
            <w:pPr>
              <w:spacing w:line="320" w:lineRule="exact"/>
              <w:rPr>
                <w:rFonts w:ascii="宋体"/>
                <w:kern w:val="0"/>
                <w:szCs w:val="21"/>
              </w:rPr>
            </w:pPr>
            <w:r>
              <w:rPr>
                <w:rFonts w:hint="eastAsia" w:ascii="宋体"/>
                <w:kern w:val="0"/>
                <w:szCs w:val="21"/>
              </w:rPr>
              <w:t>1、项目负责人、技术负责人：</w:t>
            </w:r>
          </w:p>
          <w:p>
            <w:pPr>
              <w:spacing w:line="320" w:lineRule="exact"/>
              <w:rPr>
                <w:rFonts w:ascii="宋体"/>
                <w:kern w:val="0"/>
                <w:szCs w:val="21"/>
              </w:rPr>
            </w:pPr>
            <w:r>
              <w:rPr>
                <w:rFonts w:hint="eastAsia" w:ascii="宋体"/>
                <w:kern w:val="0"/>
                <w:szCs w:val="21"/>
              </w:rPr>
              <w:t>需具有《污水处理工证》上岗培训合格证书，且从事污水处理工作2年及以上工作经验。提供一个证书3分，最高得6分。</w:t>
            </w:r>
          </w:p>
          <w:p>
            <w:pPr>
              <w:spacing w:line="320" w:lineRule="exact"/>
              <w:rPr>
                <w:rFonts w:ascii="宋体"/>
                <w:kern w:val="0"/>
                <w:szCs w:val="21"/>
              </w:rPr>
            </w:pPr>
            <w:r>
              <w:rPr>
                <w:rFonts w:hint="eastAsia" w:ascii="宋体"/>
                <w:kern w:val="0"/>
                <w:szCs w:val="21"/>
              </w:rPr>
              <w:t>2、低压电工操作证</w:t>
            </w:r>
          </w:p>
          <w:p>
            <w:pPr>
              <w:spacing w:line="320" w:lineRule="exact"/>
              <w:rPr>
                <w:rFonts w:ascii="宋体"/>
                <w:kern w:val="0"/>
                <w:szCs w:val="21"/>
              </w:rPr>
            </w:pPr>
            <w:r>
              <w:rPr>
                <w:rFonts w:hint="eastAsia" w:ascii="宋体"/>
                <w:kern w:val="0"/>
                <w:szCs w:val="21"/>
              </w:rPr>
              <w:t>投标人拟投入本项目的工作人员具有电工作业证的，每提供一个证书得2分，最高得4分。</w:t>
            </w:r>
          </w:p>
          <w:p>
            <w:pPr>
              <w:spacing w:line="320" w:lineRule="exact"/>
              <w:rPr>
                <w:rFonts w:ascii="宋体"/>
                <w:kern w:val="0"/>
                <w:szCs w:val="21"/>
              </w:rPr>
            </w:pPr>
            <w:r>
              <w:rPr>
                <w:rFonts w:hint="eastAsia" w:ascii="宋体"/>
                <w:kern w:val="0"/>
                <w:szCs w:val="21"/>
              </w:rPr>
              <w:t>3、污水处理操作工人作业证</w:t>
            </w:r>
          </w:p>
          <w:p>
            <w:pPr>
              <w:spacing w:line="320" w:lineRule="exact"/>
              <w:rPr>
                <w:rFonts w:ascii="宋体"/>
                <w:kern w:val="0"/>
                <w:szCs w:val="21"/>
              </w:rPr>
            </w:pPr>
            <w:r>
              <w:rPr>
                <w:rFonts w:hint="eastAsia" w:ascii="宋体"/>
                <w:kern w:val="0"/>
                <w:szCs w:val="21"/>
              </w:rPr>
              <w:t>污水处理工上岗培训合格证书，每提供一个证书得2分，最高6分</w:t>
            </w:r>
          </w:p>
          <w:p>
            <w:pPr>
              <w:spacing w:line="320" w:lineRule="exact"/>
              <w:rPr>
                <w:rFonts w:ascii="宋体"/>
                <w:kern w:val="0"/>
                <w:szCs w:val="21"/>
              </w:rPr>
            </w:pPr>
          </w:p>
        </w:tc>
        <w:tc>
          <w:tcPr>
            <w:tcW w:w="1212" w:type="pct"/>
            <w:vAlign w:val="center"/>
          </w:tcPr>
          <w:p>
            <w:pPr>
              <w:spacing w:line="260" w:lineRule="exact"/>
              <w:rPr>
                <w:rFonts w:ascii="宋体"/>
                <w:kern w:val="0"/>
                <w:szCs w:val="21"/>
              </w:rPr>
            </w:pPr>
            <w:r>
              <w:rPr>
                <w:rFonts w:hint="eastAsia" w:ascii="宋体"/>
                <w:kern w:val="0"/>
                <w:szCs w:val="21"/>
              </w:rPr>
              <w:t>1、</w:t>
            </w:r>
            <w:r>
              <w:rPr>
                <w:rFonts w:ascii="宋体"/>
                <w:kern w:val="0"/>
                <w:szCs w:val="21"/>
              </w:rPr>
              <w:t>投标人在投标截止日当月或上一月为派往本项目人员缴纳社保的证明（以人社部门出具的资料为准）；</w:t>
            </w:r>
            <w:r>
              <w:rPr>
                <w:rFonts w:hint="eastAsia" w:ascii="宋体"/>
                <w:kern w:val="0"/>
                <w:szCs w:val="21"/>
              </w:rPr>
              <w:t>加盖</w:t>
            </w:r>
            <w:r>
              <w:rPr>
                <w:rFonts w:ascii="宋体"/>
                <w:kern w:val="0"/>
                <w:szCs w:val="21"/>
              </w:rPr>
              <w:t>投标人</w:t>
            </w:r>
            <w:r>
              <w:rPr>
                <w:rFonts w:hint="eastAsia" w:ascii="宋体"/>
                <w:kern w:val="0"/>
                <w:szCs w:val="21"/>
              </w:rPr>
              <w:t>鲜章，原件开评标现场备查。以上证明材料不提供或提供不全不得分。</w:t>
            </w:r>
          </w:p>
          <w:p>
            <w:pPr>
              <w:rPr>
                <w:rFonts w:ascii="宋体"/>
                <w:kern w:val="0"/>
                <w:szCs w:val="21"/>
              </w:rPr>
            </w:pPr>
            <w:r>
              <w:rPr>
                <w:rFonts w:hint="eastAsia" w:ascii="宋体"/>
                <w:kern w:val="0"/>
                <w:szCs w:val="21"/>
              </w:rPr>
              <w:t>（以上人员证书一人多证的可以重复计分）</w:t>
            </w:r>
          </w:p>
          <w:p>
            <w:pPr>
              <w:spacing w:line="260" w:lineRule="exact"/>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pPr>
              <w:ind w:firstLine="480" w:firstLineChars="200"/>
              <w:jc w:val="center"/>
              <w:rPr>
                <w:rFonts w:ascii="宋体"/>
                <w:kern w:val="0"/>
                <w:sz w:val="24"/>
              </w:rPr>
            </w:pPr>
            <w:r>
              <w:rPr>
                <w:rFonts w:hint="eastAsia" w:ascii="宋体"/>
                <w:kern w:val="0"/>
                <w:sz w:val="24"/>
              </w:rPr>
              <w:t>序</w:t>
            </w:r>
          </w:p>
        </w:tc>
        <w:tc>
          <w:tcPr>
            <w:tcW w:w="664" w:type="pct"/>
            <w:vAlign w:val="center"/>
          </w:tcPr>
          <w:p>
            <w:pPr>
              <w:rPr>
                <w:rFonts w:ascii="宋体"/>
                <w:kern w:val="0"/>
                <w:szCs w:val="21"/>
              </w:rPr>
            </w:pPr>
            <w:r>
              <w:rPr>
                <w:rFonts w:ascii="宋体"/>
                <w:kern w:val="0"/>
                <w:szCs w:val="21"/>
              </w:rPr>
              <w:t>加分项目</w:t>
            </w:r>
          </w:p>
        </w:tc>
        <w:tc>
          <w:tcPr>
            <w:tcW w:w="680" w:type="pct"/>
            <w:gridSpan w:val="2"/>
            <w:vAlign w:val="center"/>
          </w:tcPr>
          <w:p>
            <w:pPr>
              <w:rPr>
                <w:rFonts w:ascii="宋体"/>
                <w:kern w:val="0"/>
                <w:szCs w:val="21"/>
              </w:rPr>
            </w:pPr>
            <w:r>
              <w:rPr>
                <w:rFonts w:hint="eastAsia" w:ascii="宋体"/>
                <w:kern w:val="0"/>
                <w:szCs w:val="21"/>
              </w:rPr>
              <w:t>5</w:t>
            </w:r>
          </w:p>
        </w:tc>
        <w:tc>
          <w:tcPr>
            <w:tcW w:w="2186" w:type="pct"/>
            <w:vAlign w:val="center"/>
          </w:tcPr>
          <w:p>
            <w:pPr>
              <w:rPr>
                <w:rFonts w:ascii="宋体"/>
                <w:kern w:val="0"/>
                <w:szCs w:val="21"/>
              </w:rPr>
            </w:pPr>
            <w:r>
              <w:rPr>
                <w:rFonts w:hint="eastAsia" w:ascii="宋体"/>
                <w:kern w:val="0"/>
                <w:szCs w:val="21"/>
              </w:rPr>
              <w:t>1、免费提供</w:t>
            </w:r>
            <w:r>
              <w:rPr>
                <w:rFonts w:ascii="宋体"/>
                <w:kern w:val="0"/>
                <w:szCs w:val="21"/>
              </w:rPr>
              <w:t>医院各科室预处理设施的维修保养。</w:t>
            </w:r>
            <w:r>
              <w:rPr>
                <w:rFonts w:hint="eastAsia" w:ascii="宋体"/>
                <w:kern w:val="0"/>
                <w:szCs w:val="21"/>
              </w:rPr>
              <w:t>5分，不提供不加分。</w:t>
            </w:r>
          </w:p>
          <w:p>
            <w:pPr>
              <w:rPr>
                <w:rFonts w:ascii="宋体"/>
                <w:kern w:val="0"/>
                <w:szCs w:val="21"/>
              </w:rPr>
            </w:pPr>
          </w:p>
        </w:tc>
        <w:tc>
          <w:tcPr>
            <w:tcW w:w="1212" w:type="pct"/>
            <w:vAlign w:val="center"/>
          </w:tcPr>
          <w:p>
            <w:pPr>
              <w:ind w:firstLine="420" w:firstLineChars="200"/>
              <w:jc w:val="center"/>
              <w:rPr>
                <w:rFonts w:ascii="宋体"/>
                <w:kern w:val="0"/>
                <w:szCs w:val="21"/>
              </w:rPr>
            </w:pPr>
            <w:r>
              <w:rPr>
                <w:rFonts w:ascii="宋体"/>
                <w:kern w:val="0"/>
                <w:szCs w:val="21"/>
              </w:rPr>
              <w:t>书面承诺，</w:t>
            </w:r>
            <w:r>
              <w:rPr>
                <w:rFonts w:hint="eastAsia" w:ascii="宋体"/>
                <w:kern w:val="0"/>
                <w:szCs w:val="21"/>
              </w:rPr>
              <w:t>加盖投标人公章。未提供不加分</w:t>
            </w:r>
          </w:p>
        </w:tc>
      </w:tr>
    </w:tbl>
    <w:p>
      <w:pPr>
        <w:snapToGrid w:val="0"/>
        <w:spacing w:line="560" w:lineRule="exact"/>
        <w:ind w:firstLine="420" w:firstLineChars="200"/>
        <w:rPr>
          <w:rFonts w:cs="宋体"/>
          <w:szCs w:val="21"/>
        </w:rPr>
      </w:pPr>
      <w:r>
        <w:rPr>
          <w:rFonts w:hint="eastAsia" w:cs="宋体"/>
          <w:szCs w:val="21"/>
        </w:rPr>
        <w:t>2.磋商小组依据上述评审办法，按分值由高到低的顺序提出3名成交候选人，并编写评审报告。</w:t>
      </w:r>
    </w:p>
    <w:p>
      <w:pPr>
        <w:snapToGrid w:val="0"/>
        <w:spacing w:line="560" w:lineRule="exact"/>
        <w:ind w:firstLine="420" w:firstLineChars="200"/>
        <w:rPr>
          <w:rFonts w:cs="宋体"/>
          <w:szCs w:val="21"/>
        </w:rPr>
      </w:pPr>
      <w:r>
        <w:rPr>
          <w:rFonts w:hint="eastAsia" w:cs="宋体"/>
          <w:szCs w:val="21"/>
        </w:rPr>
        <w:t>成交供应商=评审分数最高者</w:t>
      </w:r>
    </w:p>
    <w:p>
      <w:pPr>
        <w:snapToGrid w:val="0"/>
        <w:spacing w:line="560" w:lineRule="exact"/>
        <w:ind w:firstLine="420" w:firstLineChars="200"/>
        <w:rPr>
          <w:rFonts w:cs="宋体"/>
          <w:szCs w:val="21"/>
        </w:rPr>
      </w:pPr>
      <w:r>
        <w:rPr>
          <w:rFonts w:hint="eastAsia" w:cs="宋体"/>
          <w:szCs w:val="21"/>
        </w:rPr>
        <w:t>3.成交供应商的变更</w:t>
      </w:r>
    </w:p>
    <w:p>
      <w:pPr>
        <w:snapToGrid w:val="0"/>
        <w:spacing w:line="560" w:lineRule="exact"/>
        <w:ind w:firstLine="480" w:firstLineChars="200"/>
        <w:rPr>
          <w:rFonts w:cs="宋体"/>
          <w:szCs w:val="21"/>
        </w:rPr>
      </w:pPr>
      <w:r>
        <w:rPr>
          <w:rFonts w:hint="eastAsia" w:ascii="宋体"/>
          <w:kern w:val="0"/>
          <w:sz w:val="24"/>
          <w:szCs w:val="20"/>
        </w:rPr>
        <w:t>3</w:t>
      </w:r>
      <w:r>
        <w:rPr>
          <w:rFonts w:hint="eastAsia" w:cs="宋体"/>
          <w:szCs w:val="21"/>
        </w:rPr>
        <w:t>.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pPr>
        <w:pStyle w:val="4"/>
        <w:spacing w:before="0" w:after="0" w:line="560" w:lineRule="exact"/>
        <w:ind w:firstLine="562" w:firstLineChars="200"/>
        <w:rPr>
          <w:rFonts w:cs="宋体"/>
          <w:bCs w:val="0"/>
          <w:sz w:val="28"/>
          <w:szCs w:val="28"/>
        </w:rPr>
      </w:pPr>
      <w:bookmarkStart w:id="34" w:name="_Toc29543171"/>
      <w:bookmarkStart w:id="35" w:name="_Toc102227321"/>
      <w:bookmarkStart w:id="36" w:name="_Toc342913395"/>
      <w:r>
        <w:rPr>
          <w:rFonts w:hint="eastAsia" w:cs="宋体"/>
          <w:bCs w:val="0"/>
          <w:sz w:val="28"/>
          <w:szCs w:val="28"/>
        </w:rPr>
        <w:t>七、</w:t>
      </w:r>
      <w:bookmarkEnd w:id="34"/>
      <w:bookmarkEnd w:id="35"/>
      <w:bookmarkEnd w:id="36"/>
      <w:r>
        <w:rPr>
          <w:rFonts w:hint="eastAsia" w:cs="宋体"/>
          <w:bCs w:val="0"/>
          <w:sz w:val="28"/>
          <w:szCs w:val="28"/>
        </w:rPr>
        <w:t>结果公布</w:t>
      </w:r>
    </w:p>
    <w:p>
      <w:pPr>
        <w:snapToGrid w:val="0"/>
        <w:spacing w:line="560" w:lineRule="exact"/>
        <w:ind w:firstLine="420" w:firstLineChars="200"/>
        <w:rPr>
          <w:rFonts w:cs="宋体"/>
          <w:szCs w:val="21"/>
        </w:rPr>
      </w:pPr>
      <w:r>
        <w:rPr>
          <w:rFonts w:hint="eastAsia" w:cs="宋体"/>
          <w:szCs w:val="21"/>
        </w:rPr>
        <w:t>成交供应商确定后，采购人将在重庆市政府采购云平台·服务超市（https://chinazhyc.zbj.com/）和重庆市江北区中医院官网（https://www.jbzyy.com）上公布磋商结果，若有供应商对成交结果提出质疑的，应在公布成交结果后3个工作日内向采购人提出书面质疑。</w:t>
      </w:r>
    </w:p>
    <w:p>
      <w:pPr>
        <w:pStyle w:val="4"/>
        <w:spacing w:before="0" w:after="0" w:line="560" w:lineRule="exact"/>
        <w:rPr>
          <w:rFonts w:cs="宋体"/>
          <w:bCs w:val="0"/>
          <w:sz w:val="28"/>
          <w:szCs w:val="28"/>
        </w:rPr>
      </w:pPr>
      <w:bookmarkStart w:id="37" w:name="_Toc29543172"/>
      <w:r>
        <w:rPr>
          <w:rFonts w:hint="eastAsia" w:cs="宋体"/>
          <w:bCs w:val="0"/>
          <w:sz w:val="28"/>
          <w:szCs w:val="28"/>
        </w:rPr>
        <w:t>八、</w:t>
      </w:r>
      <w:bookmarkEnd w:id="37"/>
      <w:r>
        <w:rPr>
          <w:rFonts w:hint="eastAsia" w:cs="宋体"/>
          <w:bCs w:val="0"/>
          <w:sz w:val="28"/>
          <w:szCs w:val="28"/>
        </w:rPr>
        <w:t>质疑</w:t>
      </w:r>
    </w:p>
    <w:p>
      <w:pPr>
        <w:spacing w:line="560" w:lineRule="exact"/>
        <w:ind w:firstLine="480"/>
        <w:rPr>
          <w:rFonts w:cs="宋体"/>
          <w:szCs w:val="21"/>
        </w:rPr>
      </w:pPr>
      <w:r>
        <w:rPr>
          <w:rFonts w:hint="eastAsia" w:cs="宋体"/>
          <w:szCs w:val="21"/>
        </w:rPr>
        <w:t>供应商认为磋商文件、评审过程和成交结果使自己的权益受到损害的，可向采购人或采购代理机构以书面形式提出质疑。</w:t>
      </w:r>
    </w:p>
    <w:p>
      <w:pPr>
        <w:spacing w:line="560" w:lineRule="exact"/>
        <w:ind w:firstLine="480"/>
        <w:rPr>
          <w:rFonts w:cs="宋体"/>
          <w:szCs w:val="21"/>
        </w:rPr>
      </w:pPr>
      <w:r>
        <w:rPr>
          <w:rFonts w:hint="eastAsia" w:cs="宋体"/>
          <w:szCs w:val="21"/>
        </w:rPr>
        <w:t xml:space="preserve">提出质疑的应当是参与所质疑项目采购活动的供应商。 </w:t>
      </w:r>
    </w:p>
    <w:p>
      <w:pPr>
        <w:spacing w:line="560" w:lineRule="exact"/>
        <w:ind w:firstLine="480"/>
        <w:rPr>
          <w:rFonts w:cs="宋体"/>
          <w:szCs w:val="21"/>
        </w:rPr>
      </w:pPr>
      <w:r>
        <w:rPr>
          <w:rFonts w:hint="eastAsia" w:cs="宋体"/>
          <w:szCs w:val="21"/>
        </w:rPr>
        <w:t>1.质疑时限、内容</w:t>
      </w:r>
    </w:p>
    <w:p>
      <w:pPr>
        <w:spacing w:line="560" w:lineRule="exact"/>
        <w:ind w:firstLine="480"/>
        <w:rPr>
          <w:rFonts w:cs="宋体"/>
          <w:szCs w:val="21"/>
        </w:rPr>
      </w:pPr>
      <w:r>
        <w:rPr>
          <w:rFonts w:hint="eastAsia" w:cs="宋体"/>
          <w:szCs w:val="21"/>
        </w:rPr>
        <w:t>1.1供应商认为采购文件、采购过程、成交结果使自己的权益受到损害的，可以在知道或者应知其权益受到损害之日起7个工作日内，以书面形式向采购人、采购代理机构提出质疑。</w:t>
      </w:r>
    </w:p>
    <w:p>
      <w:pPr>
        <w:spacing w:line="560" w:lineRule="exact"/>
        <w:ind w:firstLine="480"/>
        <w:rPr>
          <w:rFonts w:cs="宋体"/>
          <w:szCs w:val="21"/>
        </w:rPr>
      </w:pPr>
      <w:r>
        <w:rPr>
          <w:rFonts w:hint="eastAsia" w:cs="宋体"/>
          <w:szCs w:val="21"/>
        </w:rPr>
        <w:t>1.2供应商提出质疑应当提交质疑函和必要的证明材料，质疑函应当包括下列内容：</w:t>
      </w:r>
    </w:p>
    <w:p>
      <w:pPr>
        <w:spacing w:line="560" w:lineRule="exact"/>
        <w:ind w:firstLine="480"/>
        <w:rPr>
          <w:rFonts w:cs="宋体"/>
          <w:szCs w:val="21"/>
        </w:rPr>
      </w:pPr>
      <w:r>
        <w:rPr>
          <w:rFonts w:hint="eastAsia" w:cs="宋体"/>
          <w:szCs w:val="21"/>
        </w:rPr>
        <w:t>1.2.1供应商的姓名或者名称、地址、邮编、联系人及联系电话；</w:t>
      </w:r>
    </w:p>
    <w:p>
      <w:pPr>
        <w:spacing w:line="560" w:lineRule="exact"/>
        <w:ind w:firstLine="480"/>
        <w:rPr>
          <w:rFonts w:cs="宋体"/>
          <w:szCs w:val="21"/>
        </w:rPr>
      </w:pPr>
      <w:r>
        <w:rPr>
          <w:rFonts w:hint="eastAsia" w:cs="宋体"/>
          <w:szCs w:val="21"/>
        </w:rPr>
        <w:t>1.2.2质疑项目的名称、项目号以及磋商项目编号；</w:t>
      </w:r>
    </w:p>
    <w:p>
      <w:pPr>
        <w:spacing w:line="560" w:lineRule="exact"/>
        <w:ind w:firstLine="480"/>
        <w:rPr>
          <w:rFonts w:cs="宋体"/>
          <w:szCs w:val="21"/>
        </w:rPr>
      </w:pPr>
      <w:r>
        <w:rPr>
          <w:rFonts w:hint="eastAsia" w:cs="宋体"/>
          <w:szCs w:val="21"/>
        </w:rPr>
        <w:t>1.2.3具体、明确的质疑事项和与质疑事项相关的请求；</w:t>
      </w:r>
    </w:p>
    <w:p>
      <w:pPr>
        <w:spacing w:line="560" w:lineRule="exact"/>
        <w:ind w:firstLine="480"/>
        <w:rPr>
          <w:rFonts w:cs="宋体"/>
          <w:szCs w:val="21"/>
        </w:rPr>
      </w:pPr>
      <w:r>
        <w:rPr>
          <w:rFonts w:hint="eastAsia" w:cs="宋体"/>
          <w:szCs w:val="21"/>
        </w:rPr>
        <w:t>1.2.4事实依据；</w:t>
      </w:r>
    </w:p>
    <w:p>
      <w:pPr>
        <w:spacing w:line="560" w:lineRule="exact"/>
        <w:ind w:firstLine="480"/>
        <w:rPr>
          <w:rFonts w:cs="宋体"/>
          <w:szCs w:val="21"/>
        </w:rPr>
      </w:pPr>
      <w:r>
        <w:rPr>
          <w:rFonts w:hint="eastAsia" w:cs="宋体"/>
          <w:szCs w:val="21"/>
        </w:rPr>
        <w:t>1.2.5必要的法律依据；</w:t>
      </w:r>
    </w:p>
    <w:p>
      <w:pPr>
        <w:spacing w:line="560" w:lineRule="exact"/>
        <w:ind w:firstLine="480"/>
        <w:rPr>
          <w:rFonts w:cs="宋体"/>
          <w:szCs w:val="21"/>
        </w:rPr>
      </w:pPr>
      <w:r>
        <w:rPr>
          <w:rFonts w:hint="eastAsia" w:cs="宋体"/>
          <w:szCs w:val="21"/>
        </w:rPr>
        <w:t>1.2.6提出质疑的日期；</w:t>
      </w:r>
    </w:p>
    <w:p>
      <w:pPr>
        <w:spacing w:line="560" w:lineRule="exact"/>
        <w:ind w:firstLine="480"/>
        <w:rPr>
          <w:rFonts w:cs="宋体"/>
          <w:szCs w:val="21"/>
        </w:rPr>
      </w:pPr>
      <w:r>
        <w:rPr>
          <w:rFonts w:hint="eastAsia" w:cs="宋体"/>
          <w:szCs w:val="21"/>
        </w:rPr>
        <w:t>1.2.7营业执照（或事业单位法人证书，或个体工商户营业执照或有效的自然人身份证明、组织机构代码证）复印件；</w:t>
      </w:r>
    </w:p>
    <w:p>
      <w:pPr>
        <w:spacing w:line="560" w:lineRule="exact"/>
        <w:ind w:firstLine="480"/>
        <w:rPr>
          <w:rFonts w:cs="宋体"/>
          <w:szCs w:val="21"/>
        </w:rPr>
      </w:pPr>
      <w:r>
        <w:rPr>
          <w:rFonts w:hint="eastAsia" w:cs="宋体"/>
          <w:szCs w:val="21"/>
        </w:rPr>
        <w:t>1.2.8法定代表人授权委托书原件、法定代表人身份证复印件和其授权代表的身份证复印件（供应商为自然人的提供自然人身份证复印件）；</w:t>
      </w:r>
    </w:p>
    <w:p>
      <w:pPr>
        <w:spacing w:line="560" w:lineRule="exact"/>
        <w:ind w:firstLine="480"/>
        <w:rPr>
          <w:rFonts w:cs="宋体"/>
          <w:szCs w:val="21"/>
        </w:rPr>
      </w:pPr>
      <w:r>
        <w:rPr>
          <w:rFonts w:hint="eastAsia" w:cs="宋体"/>
          <w:szCs w:val="21"/>
        </w:rPr>
        <w:t>1.3供应商为自然人的，质疑函应当由本人签字；供应商为法人或者其他组织的，质疑函应当由法定代表人、主要负责人，或者其授权代表签字或者盖章，并加盖公章。</w:t>
      </w:r>
    </w:p>
    <w:p>
      <w:pPr>
        <w:spacing w:line="560" w:lineRule="exact"/>
        <w:ind w:firstLine="480"/>
        <w:rPr>
          <w:rFonts w:cs="宋体"/>
          <w:szCs w:val="21"/>
        </w:rPr>
      </w:pPr>
      <w:r>
        <w:rPr>
          <w:rFonts w:hint="eastAsia" w:cs="宋体"/>
          <w:szCs w:val="21"/>
        </w:rPr>
        <w:t>2.质疑答复</w:t>
      </w:r>
    </w:p>
    <w:p>
      <w:pPr>
        <w:spacing w:line="560" w:lineRule="exact"/>
        <w:ind w:firstLine="480"/>
        <w:rPr>
          <w:rFonts w:cs="宋体"/>
          <w:szCs w:val="21"/>
        </w:rPr>
      </w:pPr>
      <w:r>
        <w:rPr>
          <w:rFonts w:hint="eastAsia" w:cs="宋体"/>
          <w:szCs w:val="21"/>
        </w:rPr>
        <w:t>采购人、采购代理机构应当在收到供应商的书面质疑后七个工作日内作出答复，并以书面形式通知质疑供应商和其他有关供应商。</w:t>
      </w:r>
    </w:p>
    <w:p>
      <w:pPr>
        <w:spacing w:line="560" w:lineRule="exact"/>
        <w:ind w:firstLine="480"/>
        <w:rPr>
          <w:rFonts w:cs="宋体"/>
          <w:szCs w:val="21"/>
        </w:rPr>
      </w:pPr>
      <w:r>
        <w:rPr>
          <w:rFonts w:hint="eastAsia" w:cs="宋体"/>
          <w:szCs w:val="21"/>
        </w:rPr>
        <w:t>3.其他</w:t>
      </w:r>
    </w:p>
    <w:p>
      <w:pPr>
        <w:spacing w:line="560" w:lineRule="exact"/>
        <w:ind w:firstLine="480"/>
        <w:rPr>
          <w:rFonts w:cs="宋体"/>
          <w:szCs w:val="21"/>
        </w:rPr>
      </w:pPr>
      <w:r>
        <w:rPr>
          <w:rFonts w:hint="eastAsia" w:cs="宋体"/>
          <w:szCs w:val="21"/>
        </w:rPr>
        <w:t>3.1供应商应按照《政府采购质疑和投诉办法》（财政部令第94号）及相关法律法规要求，在法定质疑期内一次性提出针对同一采购程序环节的质疑。</w:t>
      </w:r>
    </w:p>
    <w:p>
      <w:pPr>
        <w:spacing w:line="560" w:lineRule="exact"/>
        <w:ind w:firstLine="480"/>
        <w:rPr>
          <w:rFonts w:cs="宋体"/>
          <w:szCs w:val="21"/>
        </w:rPr>
      </w:pPr>
      <w:r>
        <w:rPr>
          <w:rFonts w:hint="eastAsia" w:cs="宋体"/>
          <w:szCs w:val="21"/>
        </w:rPr>
        <w:t>3.2质疑函范本可在财政部门户网站和中国政府采购网下载。</w:t>
      </w:r>
    </w:p>
    <w:p>
      <w:pPr>
        <w:pStyle w:val="4"/>
        <w:spacing w:before="0" w:after="0" w:line="560" w:lineRule="exact"/>
        <w:ind w:firstLine="562" w:firstLineChars="200"/>
        <w:rPr>
          <w:rFonts w:cs="宋体"/>
          <w:bCs w:val="0"/>
          <w:sz w:val="28"/>
          <w:szCs w:val="28"/>
        </w:rPr>
      </w:pPr>
      <w:bookmarkStart w:id="38" w:name="_Toc29543173"/>
      <w:bookmarkStart w:id="39" w:name="_Toc102227322"/>
      <w:bookmarkStart w:id="40" w:name="_Toc342913396"/>
      <w:r>
        <w:rPr>
          <w:rFonts w:hint="eastAsia" w:cs="宋体"/>
          <w:bCs w:val="0"/>
          <w:sz w:val="28"/>
          <w:szCs w:val="28"/>
        </w:rPr>
        <w:t>九、签订合同</w:t>
      </w:r>
      <w:bookmarkEnd w:id="38"/>
    </w:p>
    <w:p>
      <w:pPr>
        <w:spacing w:line="560" w:lineRule="exact"/>
        <w:ind w:firstLine="315" w:firstLineChars="150"/>
        <w:rPr>
          <w:rFonts w:cs="宋体"/>
          <w:szCs w:val="21"/>
        </w:rPr>
      </w:pPr>
      <w:r>
        <w:rPr>
          <w:rFonts w:hint="eastAsia" w:cs="宋体"/>
          <w:szCs w:val="21"/>
        </w:rPr>
        <w:t>（一）采购人应当自磋商结果公布之日起三十日内，按照竞争性磋商文件和成交供应商响应文件的约定，与成交供应商签订书面合同。所签订的合同不得对竞争性磋商文件和供应商的响应文件作实质性修改。</w:t>
      </w:r>
    </w:p>
    <w:p>
      <w:pPr>
        <w:spacing w:line="560" w:lineRule="exact"/>
        <w:ind w:firstLine="315" w:firstLineChars="150"/>
        <w:rPr>
          <w:rFonts w:cs="宋体"/>
          <w:szCs w:val="21"/>
        </w:rPr>
      </w:pPr>
      <w:r>
        <w:rPr>
          <w:rFonts w:hint="eastAsia" w:cs="宋体"/>
          <w:szCs w:val="21"/>
        </w:rPr>
        <w:t>（二）竞争性磋商文件、供应商的响应文件及澄清文件等，均为签订采购合同的依据。</w:t>
      </w:r>
    </w:p>
    <w:bookmarkEnd w:id="39"/>
    <w:bookmarkEnd w:id="40"/>
    <w:p>
      <w:pPr>
        <w:rPr>
          <w:rFonts w:cs="宋体"/>
          <w:szCs w:val="21"/>
        </w:rPr>
      </w:pPr>
    </w:p>
    <w:p>
      <w:pPr>
        <w:spacing w:line="560" w:lineRule="exact"/>
        <w:ind w:firstLine="480" w:firstLineChars="200"/>
        <w:rPr>
          <w:rFonts w:ascii="宋体"/>
          <w:kern w:val="0"/>
          <w:sz w:val="24"/>
          <w:szCs w:val="20"/>
        </w:rPr>
        <w:sectPr>
          <w:headerReference r:id="rId3" w:type="default"/>
          <w:footerReference r:id="rId4" w:type="default"/>
          <w:pgSz w:w="11907" w:h="16840"/>
          <w:pgMar w:top="1134" w:right="1191" w:bottom="1134" w:left="1304" w:header="964" w:footer="992" w:gutter="0"/>
          <w:pgNumType w:fmt="numberInDash"/>
          <w:cols w:space="720" w:num="1"/>
          <w:docGrid w:linePitch="312" w:charSpace="0"/>
        </w:sectPr>
      </w:pPr>
    </w:p>
    <w:p>
      <w:pPr>
        <w:pStyle w:val="3"/>
        <w:spacing w:before="0" w:after="0" w:line="560" w:lineRule="exact"/>
        <w:jc w:val="center"/>
        <w:rPr>
          <w:rFonts w:ascii="黑体" w:hAnsi="黑体"/>
          <w:b w:val="0"/>
          <w:color w:val="000000" w:themeColor="text1"/>
        </w:rPr>
      </w:pPr>
      <w:bookmarkStart w:id="41" w:name="_Toc29543175"/>
      <w:r>
        <w:rPr>
          <w:rFonts w:hint="eastAsia" w:ascii="黑体" w:hAnsi="黑体"/>
          <w:b w:val="0"/>
          <w:color w:val="000000" w:themeColor="text1"/>
        </w:rPr>
        <w:t>第三篇  磋商项目技术需求</w:t>
      </w:r>
      <w:bookmarkEnd w:id="41"/>
    </w:p>
    <w:p>
      <w:pPr>
        <w:pStyle w:val="3"/>
        <w:spacing w:before="0" w:after="0" w:line="360" w:lineRule="auto"/>
        <w:jc w:val="left"/>
        <w:rPr>
          <w:rFonts w:eastAsia="宋体"/>
          <w:sz w:val="28"/>
          <w:lang w:val="zh-CN"/>
        </w:rPr>
      </w:pPr>
      <w:bookmarkStart w:id="42" w:name="_Toc12789058"/>
      <w:r>
        <w:rPr>
          <w:rFonts w:hint="eastAsia" w:eastAsia="方正小标宋_GBK"/>
          <w:color w:val="000000" w:themeColor="text1"/>
        </w:rPr>
        <w:t>一</w:t>
      </w:r>
      <w:r>
        <w:rPr>
          <w:rFonts w:hint="eastAsia" w:ascii="Times New Roman" w:hAnsi="Times New Roman" w:eastAsia="宋体" w:cs="宋体"/>
          <w:bCs w:val="0"/>
          <w:sz w:val="28"/>
          <w:szCs w:val="28"/>
        </w:rPr>
        <w:t>、服务内容一览表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1286"/>
        <w:gridCol w:w="5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868" w:type="dxa"/>
            <w:vAlign w:val="center"/>
          </w:tcPr>
          <w:p>
            <w:pPr>
              <w:jc w:val="center"/>
            </w:pPr>
            <w:r>
              <w:rPr>
                <w:rFonts w:hint="eastAsia"/>
              </w:rPr>
              <w:t>服务内容</w:t>
            </w:r>
          </w:p>
        </w:tc>
        <w:tc>
          <w:tcPr>
            <w:tcW w:w="1286" w:type="dxa"/>
            <w:vAlign w:val="center"/>
          </w:tcPr>
          <w:p>
            <w:pPr>
              <w:jc w:val="center"/>
            </w:pPr>
            <w:r>
              <w:rPr>
                <w:rFonts w:hint="eastAsia"/>
              </w:rPr>
              <w:t>服务时间</w:t>
            </w:r>
          </w:p>
        </w:tc>
        <w:tc>
          <w:tcPr>
            <w:tcW w:w="5107"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2868" w:type="dxa"/>
            <w:vAlign w:val="center"/>
          </w:tcPr>
          <w:p>
            <w:pPr>
              <w:jc w:val="center"/>
            </w:pPr>
            <w:r>
              <w:rPr>
                <w:rFonts w:hint="eastAsia" w:ascii="方正仿宋_GBK" w:hAnsi="宋体" w:eastAsia="方正仿宋_GBK"/>
                <w:color w:val="000000" w:themeColor="text1"/>
                <w:sz w:val="28"/>
                <w:szCs w:val="28"/>
              </w:rPr>
              <w:t>江北区中医院污水处理设施营运管理服务</w:t>
            </w:r>
          </w:p>
        </w:tc>
        <w:tc>
          <w:tcPr>
            <w:tcW w:w="1286" w:type="dxa"/>
            <w:vAlign w:val="center"/>
          </w:tcPr>
          <w:p>
            <w:pPr>
              <w:jc w:val="center"/>
            </w:pPr>
            <w:r>
              <w:rPr>
                <w:rFonts w:hint="eastAsia"/>
              </w:rPr>
              <w:t>壹年</w:t>
            </w:r>
          </w:p>
        </w:tc>
        <w:tc>
          <w:tcPr>
            <w:tcW w:w="5107" w:type="dxa"/>
            <w:vAlign w:val="center"/>
          </w:tcPr>
          <w:p>
            <w:r>
              <w:rPr>
                <w:rFonts w:hint="eastAsia" w:ascii="方正仿宋_GBK" w:hAnsi="宋体" w:eastAsia="方正仿宋_GBK"/>
                <w:color w:val="000000" w:themeColor="text1"/>
                <w:sz w:val="24"/>
              </w:rPr>
              <w:t>报价含污水处理药剂、辅料、人工费（含五险）、设施设备的日常维护及维修材料（单件设备500元（含500）以内的由供应商承担，500元以上的超出部分经采购人许可后凭发票由采购人承担）等全部费用</w:t>
            </w:r>
            <w:r>
              <w:rPr>
                <w:rFonts w:hint="eastAsia"/>
              </w:rPr>
              <w:t>。</w:t>
            </w:r>
          </w:p>
        </w:tc>
      </w:tr>
    </w:tbl>
    <w:p>
      <w:pPr>
        <w:rPr>
          <w:rFonts w:ascii="Arial" w:hAnsi="Arial"/>
          <w:b/>
          <w:bCs/>
          <w:sz w:val="28"/>
          <w:szCs w:val="32"/>
          <w:lang w:val="zh-CN"/>
        </w:rPr>
      </w:pPr>
      <w:r>
        <w:rPr>
          <w:rFonts w:hint="eastAsia" w:ascii="仿宋_GB2312" w:hAnsi="仿宋_GB2312" w:cs="仿宋_GB2312"/>
        </w:rPr>
        <w:t xml:space="preserve">★ </w:t>
      </w:r>
      <w:r>
        <w:rPr>
          <w:rFonts w:hint="eastAsia" w:ascii="宋体" w:hAnsi="宋体" w:cs="宋体"/>
          <w:color w:val="000000"/>
          <w:sz w:val="24"/>
          <w:lang w:val="zh-CN"/>
        </w:rPr>
        <w:t>条款不满足，为无效投标。</w:t>
      </w:r>
    </w:p>
    <w:p>
      <w:pPr>
        <w:spacing w:line="276" w:lineRule="auto"/>
        <w:rPr>
          <w:rFonts w:ascii="Arial" w:hAnsi="Arial"/>
          <w:b/>
          <w:bCs/>
          <w:sz w:val="28"/>
          <w:szCs w:val="32"/>
          <w:lang w:val="zh-CN"/>
        </w:rPr>
      </w:pPr>
      <w:bookmarkStart w:id="43" w:name="_Toc45041906"/>
      <w:bookmarkStart w:id="44" w:name="_Hlk22233711"/>
      <w:bookmarkStart w:id="45" w:name="_Toc29543180"/>
      <w:r>
        <w:rPr>
          <w:rFonts w:hint="eastAsia" w:ascii="Arial" w:hAnsi="Arial"/>
          <w:b/>
          <w:bCs/>
          <w:sz w:val="28"/>
          <w:szCs w:val="32"/>
          <w:lang w:val="zh-CN"/>
        </w:rPr>
        <w:t>二、</w:t>
      </w:r>
      <w:bookmarkEnd w:id="43"/>
      <w:r>
        <w:rPr>
          <w:rFonts w:hint="eastAsia" w:ascii="Arial" w:hAnsi="Arial"/>
          <w:b/>
          <w:bCs/>
          <w:sz w:val="28"/>
          <w:szCs w:val="32"/>
          <w:lang w:val="zh-CN"/>
        </w:rPr>
        <w:t>服务内容</w:t>
      </w:r>
    </w:p>
    <w:bookmarkEnd w:id="44"/>
    <w:p>
      <w:pPr>
        <w:spacing w:line="276" w:lineRule="auto"/>
        <w:rPr>
          <w:rFonts w:cs="宋体"/>
          <w:szCs w:val="21"/>
        </w:rPr>
      </w:pPr>
      <w:r>
        <w:rPr>
          <w:rFonts w:hint="eastAsia" w:cs="宋体"/>
          <w:szCs w:val="21"/>
        </w:rPr>
        <w:t>（1）运行过程中化学药剂购买及投放，确保满足系统出水达标要求；</w:t>
      </w:r>
    </w:p>
    <w:p>
      <w:pPr>
        <w:spacing w:line="276" w:lineRule="auto"/>
        <w:rPr>
          <w:rFonts w:cs="宋体"/>
          <w:szCs w:val="21"/>
        </w:rPr>
      </w:pPr>
      <w:r>
        <w:rPr>
          <w:rFonts w:hint="eastAsia" w:cs="宋体"/>
          <w:szCs w:val="21"/>
        </w:rPr>
        <w:t>（2）污水处理系统废气治理设施的滤料（活性炭等）的购买与更换，废弃填料的打包处理；</w:t>
      </w:r>
    </w:p>
    <w:p>
      <w:pPr>
        <w:spacing w:line="276" w:lineRule="auto"/>
        <w:rPr>
          <w:rFonts w:cs="宋体"/>
          <w:szCs w:val="21"/>
        </w:rPr>
      </w:pPr>
      <w:r>
        <w:rPr>
          <w:rFonts w:hint="eastAsia" w:cs="宋体"/>
          <w:szCs w:val="21"/>
        </w:rPr>
        <w:t>（3）化粪池清掏：化粪池一年清掏两次；确保所有化粪池不堵塞，并对淤泥无害化处置进行规范处理。</w:t>
      </w:r>
    </w:p>
    <w:p>
      <w:pPr>
        <w:spacing w:line="276" w:lineRule="auto"/>
        <w:ind w:firstLine="480"/>
        <w:rPr>
          <w:rFonts w:cs="宋体"/>
          <w:szCs w:val="21"/>
        </w:rPr>
      </w:pPr>
      <w:r>
        <w:rPr>
          <w:rFonts w:hint="eastAsia" w:cs="宋体"/>
          <w:szCs w:val="21"/>
        </w:rPr>
        <w:t>（4）肠道致病菌（沙门氏菌、志贺氏菌）、肠道病毒定期送检， PH、余氯化验每日不少于2次；</w:t>
      </w:r>
    </w:p>
    <w:p>
      <w:pPr>
        <w:spacing w:line="276" w:lineRule="auto"/>
        <w:rPr>
          <w:rFonts w:cs="宋体"/>
          <w:szCs w:val="21"/>
        </w:rPr>
      </w:pPr>
      <w:r>
        <w:rPr>
          <w:rFonts w:hint="eastAsia" w:cs="宋体"/>
          <w:szCs w:val="21"/>
        </w:rPr>
        <w:t>（5）安全职防；</w:t>
      </w:r>
    </w:p>
    <w:p>
      <w:pPr>
        <w:spacing w:line="276" w:lineRule="auto"/>
        <w:rPr>
          <w:rFonts w:cs="宋体"/>
          <w:szCs w:val="21"/>
        </w:rPr>
      </w:pPr>
      <w:r>
        <w:rPr>
          <w:rFonts w:hint="eastAsia" w:cs="宋体"/>
          <w:szCs w:val="21"/>
        </w:rPr>
        <w:t>6）设施设备日常维护及维修、易耗材料；</w:t>
      </w:r>
    </w:p>
    <w:p>
      <w:pPr>
        <w:spacing w:line="276" w:lineRule="auto"/>
        <w:rPr>
          <w:rFonts w:cs="宋体"/>
          <w:szCs w:val="21"/>
        </w:rPr>
      </w:pPr>
      <w:r>
        <w:rPr>
          <w:rFonts w:hint="eastAsia" w:cs="宋体"/>
          <w:szCs w:val="21"/>
        </w:rPr>
        <w:t>（7）环境保护突发事故的处理措施及应急处理；</w:t>
      </w:r>
    </w:p>
    <w:p>
      <w:pPr>
        <w:spacing w:line="276" w:lineRule="auto"/>
        <w:rPr>
          <w:rFonts w:cs="宋体"/>
          <w:szCs w:val="21"/>
        </w:rPr>
      </w:pPr>
      <w:r>
        <w:rPr>
          <w:rFonts w:hint="eastAsia" w:cs="宋体"/>
          <w:szCs w:val="21"/>
        </w:rPr>
        <w:t>（8）接受院领导及各级政府部门的督查和检查；</w:t>
      </w:r>
    </w:p>
    <w:p>
      <w:pPr>
        <w:spacing w:line="276" w:lineRule="auto"/>
        <w:rPr>
          <w:rFonts w:cs="宋体"/>
          <w:szCs w:val="21"/>
        </w:rPr>
      </w:pPr>
      <w:r>
        <w:rPr>
          <w:rFonts w:hint="eastAsia" w:cs="宋体"/>
          <w:szCs w:val="21"/>
        </w:rPr>
        <w:t>（9）排污许可证的办理。（服务商负责污水站排污许可证的更换办理，采购人配合）；</w:t>
      </w:r>
    </w:p>
    <w:p>
      <w:pPr>
        <w:spacing w:line="276" w:lineRule="auto"/>
        <w:rPr>
          <w:rFonts w:cs="宋体"/>
          <w:szCs w:val="21"/>
        </w:rPr>
      </w:pPr>
      <w:r>
        <w:rPr>
          <w:rFonts w:hint="eastAsia" w:cs="宋体"/>
          <w:szCs w:val="21"/>
        </w:rPr>
        <w:t>10）环境安全风险的控制；</w:t>
      </w:r>
    </w:p>
    <w:p>
      <w:pPr>
        <w:spacing w:line="276" w:lineRule="auto"/>
        <w:rPr>
          <w:rFonts w:cs="宋体"/>
          <w:szCs w:val="21"/>
        </w:rPr>
      </w:pPr>
      <w:r>
        <w:rPr>
          <w:rFonts w:hint="eastAsia" w:cs="宋体"/>
          <w:szCs w:val="21"/>
        </w:rPr>
        <w:t>（11）派驻项目负责人负责运营管理；</w:t>
      </w:r>
    </w:p>
    <w:p>
      <w:pPr>
        <w:spacing w:line="276" w:lineRule="auto"/>
        <w:rPr>
          <w:rFonts w:cs="宋体"/>
          <w:szCs w:val="21"/>
        </w:rPr>
      </w:pPr>
      <w:r>
        <w:rPr>
          <w:rFonts w:hint="eastAsia" w:cs="宋体"/>
          <w:szCs w:val="21"/>
        </w:rPr>
        <w:t>12）操作维修人员8小时值班；</w:t>
      </w:r>
    </w:p>
    <w:p>
      <w:pPr>
        <w:spacing w:line="276" w:lineRule="auto"/>
        <w:rPr>
          <w:rFonts w:cs="宋体"/>
          <w:szCs w:val="21"/>
        </w:rPr>
      </w:pPr>
      <w:r>
        <w:rPr>
          <w:rFonts w:hint="eastAsia" w:cs="宋体"/>
          <w:szCs w:val="21"/>
        </w:rPr>
        <w:t>（13）年度环境信用评价；</w:t>
      </w:r>
    </w:p>
    <w:p>
      <w:pPr>
        <w:spacing w:line="276" w:lineRule="auto"/>
        <w:rPr>
          <w:rFonts w:cs="宋体"/>
          <w:szCs w:val="21"/>
        </w:rPr>
      </w:pPr>
      <w:r>
        <w:rPr>
          <w:rFonts w:hint="eastAsia" w:cs="宋体"/>
          <w:szCs w:val="21"/>
        </w:rPr>
        <w:t>（14）排污企业排口监管等；</w:t>
      </w:r>
    </w:p>
    <w:p>
      <w:pPr>
        <w:spacing w:line="276" w:lineRule="auto"/>
        <w:rPr>
          <w:rFonts w:cs="宋体"/>
          <w:szCs w:val="21"/>
        </w:rPr>
      </w:pPr>
      <w:r>
        <w:rPr>
          <w:rFonts w:hint="eastAsia" w:cs="宋体"/>
          <w:szCs w:val="21"/>
        </w:rPr>
        <w:t>（15）院区污水处理站、在线监测系统设备、污水预处理设备的投药、运营保养及维护，确保系统正常运行。</w:t>
      </w:r>
    </w:p>
    <w:p>
      <w:pPr>
        <w:rPr>
          <w:rFonts w:ascii="Arial" w:hAnsi="Arial"/>
          <w:b/>
          <w:bCs/>
          <w:sz w:val="28"/>
          <w:szCs w:val="32"/>
          <w:lang w:val="zh-CN"/>
        </w:rPr>
      </w:pPr>
      <w:r>
        <w:rPr>
          <w:rFonts w:hint="eastAsia" w:ascii="仿宋_GB2312" w:hAnsi="仿宋_GB2312" w:cs="仿宋_GB2312"/>
        </w:rPr>
        <w:t>★</w:t>
      </w:r>
      <w:r>
        <w:rPr>
          <w:rFonts w:hint="eastAsia" w:ascii="Arial" w:hAnsi="Arial"/>
          <w:b/>
          <w:bCs/>
          <w:sz w:val="28"/>
          <w:szCs w:val="32"/>
          <w:lang w:val="zh-CN"/>
        </w:rPr>
        <w:t>三、总体要求</w:t>
      </w:r>
    </w:p>
    <w:p>
      <w:pPr>
        <w:spacing w:line="276" w:lineRule="auto"/>
        <w:ind w:firstLine="480"/>
        <w:rPr>
          <w:rFonts w:cs="宋体"/>
          <w:szCs w:val="21"/>
        </w:rPr>
      </w:pPr>
      <w:r>
        <w:rPr>
          <w:rFonts w:hint="eastAsia" w:cs="宋体"/>
          <w:szCs w:val="21"/>
        </w:rPr>
        <w:t>（1）对日处理400m3（小时处理能力为16.5m3/h</w:t>
      </w:r>
      <w:r>
        <w:rPr>
          <w:rFonts w:cs="宋体"/>
          <w:szCs w:val="21"/>
        </w:rPr>
        <w:t>）</w:t>
      </w:r>
      <w:r>
        <w:rPr>
          <w:rFonts w:hint="eastAsia" w:cs="宋体"/>
          <w:szCs w:val="21"/>
        </w:rPr>
        <w:t>污水处理站系统设施及监测系统设备进行运行维护，确保系统正常运行，出水达标；</w:t>
      </w:r>
    </w:p>
    <w:p>
      <w:pPr>
        <w:spacing w:line="276" w:lineRule="auto"/>
        <w:ind w:firstLine="480"/>
        <w:rPr>
          <w:rFonts w:cs="宋体"/>
          <w:szCs w:val="21"/>
        </w:rPr>
      </w:pPr>
      <w:r>
        <w:rPr>
          <w:rFonts w:hint="eastAsia" w:cs="宋体"/>
          <w:szCs w:val="21"/>
        </w:rPr>
        <w:t>（2）严格执行环保部门、卫生行政部门的相关规定，负责污水处理站的运营管理，服务商必须保证生产污水的达标排放，污水必须经处理后排放到总排污口。</w:t>
      </w:r>
    </w:p>
    <w:p>
      <w:pPr>
        <w:spacing w:line="276" w:lineRule="auto"/>
        <w:ind w:firstLine="480"/>
        <w:rPr>
          <w:rFonts w:cs="宋体"/>
          <w:szCs w:val="21"/>
        </w:rPr>
      </w:pPr>
      <w:r>
        <w:rPr>
          <w:rFonts w:hint="eastAsia" w:cs="宋体"/>
          <w:szCs w:val="21"/>
        </w:rPr>
        <w:t>（3）运营托管期间，服务商自行承担各项费用、风险和所有责任。</w:t>
      </w:r>
    </w:p>
    <w:p>
      <w:pPr>
        <w:tabs>
          <w:tab w:val="left" w:pos="0"/>
        </w:tabs>
        <w:spacing w:line="276" w:lineRule="auto"/>
        <w:ind w:firstLine="480"/>
        <w:rPr>
          <w:rFonts w:cs="宋体"/>
          <w:szCs w:val="21"/>
        </w:rPr>
      </w:pPr>
      <w:r>
        <w:rPr>
          <w:rFonts w:hint="eastAsia" w:cs="宋体"/>
          <w:szCs w:val="21"/>
        </w:rPr>
        <w:t>（4）污水不达标所引起的一切责任及经济处罚由服务商承担。</w:t>
      </w:r>
    </w:p>
    <w:p>
      <w:pPr>
        <w:tabs>
          <w:tab w:val="left" w:pos="0"/>
        </w:tabs>
        <w:spacing w:line="276" w:lineRule="auto"/>
        <w:ind w:firstLine="480"/>
        <w:rPr>
          <w:rFonts w:cs="宋体"/>
          <w:szCs w:val="21"/>
        </w:rPr>
      </w:pPr>
      <w:r>
        <w:rPr>
          <w:rFonts w:hint="eastAsia" w:cs="宋体"/>
          <w:szCs w:val="21"/>
        </w:rPr>
        <w:t>（5）服务商必须按照国家相关法律法规、“二级综合医院评审标准实施细则”以及医院管理的相关要求准备完善相关资料，定期移交。</w:t>
      </w:r>
    </w:p>
    <w:p>
      <w:pPr>
        <w:tabs>
          <w:tab w:val="left" w:pos="0"/>
        </w:tabs>
        <w:spacing w:line="276" w:lineRule="auto"/>
        <w:ind w:firstLine="480"/>
        <w:rPr>
          <w:rFonts w:cs="宋体"/>
          <w:szCs w:val="21"/>
        </w:rPr>
      </w:pPr>
      <w:r>
        <w:rPr>
          <w:rFonts w:hint="eastAsia" w:cs="宋体"/>
          <w:szCs w:val="21"/>
        </w:rPr>
        <w:t>（5）服务商在运营期间，必须严格按污水处理站设备操作规程进行操作，确保污水处理达标排放，并保证人身安全。如果在合同期内发生安全事故，责任由服务商负责。</w:t>
      </w:r>
    </w:p>
    <w:p>
      <w:pPr>
        <w:tabs>
          <w:tab w:val="left" w:pos="0"/>
        </w:tabs>
        <w:spacing w:line="276" w:lineRule="auto"/>
        <w:ind w:firstLine="480"/>
        <w:rPr>
          <w:rFonts w:cs="宋体"/>
          <w:szCs w:val="21"/>
        </w:rPr>
      </w:pPr>
      <w:r>
        <w:rPr>
          <w:rFonts w:hint="eastAsia" w:cs="宋体"/>
          <w:szCs w:val="21"/>
        </w:rPr>
        <w:t>（6）服务商必须无条件随采购人生产安排情况及时处理污水，并确保达标。</w:t>
      </w:r>
    </w:p>
    <w:p>
      <w:pPr>
        <w:pStyle w:val="33"/>
        <w:ind w:firstLine="0" w:firstLineChars="0"/>
        <w:rPr>
          <w:rFonts w:ascii="Times New Roman" w:eastAsia="宋体" w:cs="宋体"/>
          <w:spacing w:val="0"/>
          <w:sz w:val="21"/>
          <w:szCs w:val="21"/>
        </w:rPr>
      </w:pPr>
      <w:r>
        <w:rPr>
          <w:rFonts w:hint="eastAsia" w:ascii="Times New Roman" w:eastAsia="宋体" w:cs="宋体"/>
          <w:spacing w:val="0"/>
          <w:sz w:val="21"/>
          <w:szCs w:val="21"/>
        </w:rPr>
        <w:t>（7）按照相关行业主管部门申报、办理环保相关手续等内容，保证污水处理站的正常运行和污水达标排放。</w:t>
      </w:r>
    </w:p>
    <w:p>
      <w:pPr>
        <w:pStyle w:val="33"/>
        <w:ind w:firstLine="0" w:firstLineChars="0"/>
        <w:rPr>
          <w:rFonts w:ascii="方正仿宋_GBK" w:hAnsi="宋体" w:eastAsia="方正仿宋_GBK"/>
          <w:color w:val="000000" w:themeColor="text1"/>
          <w:spacing w:val="0"/>
          <w:sz w:val="24"/>
        </w:rPr>
      </w:pPr>
      <w:r>
        <w:rPr>
          <w:rFonts w:hint="eastAsia" w:ascii="仿宋_GB2312" w:hAnsi="仿宋_GB2312" w:cs="仿宋_GB2312"/>
        </w:rPr>
        <w:t>★</w:t>
      </w:r>
      <w:r>
        <w:rPr>
          <w:rFonts w:hint="eastAsia" w:ascii="宋体" w:hAnsi="宋体" w:eastAsia="宋体" w:cs="宋体"/>
          <w:b/>
          <w:bCs/>
          <w:sz w:val="28"/>
          <w:szCs w:val="32"/>
          <w:lang w:val="zh-CN"/>
        </w:rPr>
        <w:t>四、管理服务要求</w:t>
      </w:r>
    </w:p>
    <w:p>
      <w:pPr>
        <w:tabs>
          <w:tab w:val="left" w:pos="0"/>
        </w:tabs>
        <w:spacing w:line="276" w:lineRule="auto"/>
        <w:rPr>
          <w:rFonts w:ascii="仿宋_GB2312" w:hAnsi="仿宋_GB2312" w:cs="仿宋_GB2312"/>
        </w:rPr>
      </w:pPr>
      <w:r>
        <w:rPr>
          <w:rFonts w:hint="eastAsia" w:ascii="仿宋_GB2312" w:hAnsi="仿宋_GB2312" w:cs="仿宋_GB2312"/>
        </w:rPr>
        <w:t>（1）建立健全污水处理站管理制度、交接班制度、运营、维修、安全技术操作规程。</w:t>
      </w:r>
    </w:p>
    <w:p>
      <w:pPr>
        <w:tabs>
          <w:tab w:val="left" w:pos="0"/>
        </w:tabs>
        <w:spacing w:line="276" w:lineRule="auto"/>
        <w:ind w:firstLine="480"/>
        <w:rPr>
          <w:rFonts w:ascii="仿宋_GB2312" w:hAnsi="仿宋_GB2312" w:cs="仿宋_GB2312"/>
        </w:rPr>
      </w:pPr>
      <w:r>
        <w:rPr>
          <w:rFonts w:hint="eastAsia" w:ascii="仿宋_GB2312" w:hAnsi="仿宋_GB2312" w:cs="仿宋_GB2312"/>
        </w:rPr>
        <w:t>2）建立切实可行的设备设施维护维修制度、应急预案、应急管理制度、安排每年不少于1次的应急工作预防演练。</w:t>
      </w:r>
    </w:p>
    <w:p>
      <w:pPr>
        <w:tabs>
          <w:tab w:val="left" w:pos="0"/>
        </w:tabs>
        <w:spacing w:line="276" w:lineRule="auto"/>
        <w:ind w:firstLine="480"/>
        <w:rPr>
          <w:rFonts w:ascii="仿宋_GB2312" w:hAnsi="仿宋_GB2312" w:cs="仿宋_GB2312"/>
        </w:rPr>
      </w:pPr>
      <w:r>
        <w:rPr>
          <w:rFonts w:hint="eastAsia" w:ascii="仿宋_GB2312" w:hAnsi="仿宋_GB2312" w:cs="仿宋_GB2312"/>
        </w:rPr>
        <w:t>（3）建立健全安全管理体系，完善并制作污水站现场的安全警示标识、设备工艺标识</w:t>
      </w:r>
    </w:p>
    <w:p>
      <w:pPr>
        <w:tabs>
          <w:tab w:val="left" w:pos="0"/>
        </w:tabs>
        <w:spacing w:line="276" w:lineRule="auto"/>
        <w:ind w:firstLine="480"/>
        <w:rPr>
          <w:rFonts w:ascii="仿宋_GB2312" w:hAnsi="仿宋_GB2312" w:cs="仿宋_GB2312"/>
        </w:rPr>
      </w:pPr>
      <w:r>
        <w:rPr>
          <w:rFonts w:hint="eastAsia" w:ascii="仿宋_GB2312" w:hAnsi="仿宋_GB2312" w:cs="仿宋_GB2312"/>
        </w:rPr>
        <w:t>（4）定期对员工进行业务培训、管理培训及知识更新。</w:t>
      </w:r>
    </w:p>
    <w:p>
      <w:pPr>
        <w:tabs>
          <w:tab w:val="left" w:pos="0"/>
        </w:tabs>
        <w:spacing w:line="276" w:lineRule="auto"/>
        <w:ind w:firstLine="480"/>
        <w:rPr>
          <w:rFonts w:ascii="仿宋_GB2312" w:hAnsi="仿宋_GB2312" w:cs="仿宋_GB2312"/>
        </w:rPr>
      </w:pPr>
      <w:r>
        <w:rPr>
          <w:rFonts w:hint="eastAsia" w:ascii="仿宋_GB2312" w:hAnsi="仿宋_GB2312" w:cs="仿宋_GB2312"/>
        </w:rPr>
        <w:t>（5）制定操作工、维修工、项目负责人常规考核办法。</w:t>
      </w:r>
    </w:p>
    <w:p>
      <w:pPr>
        <w:tabs>
          <w:tab w:val="left" w:pos="0"/>
        </w:tabs>
        <w:spacing w:line="276" w:lineRule="auto"/>
        <w:ind w:firstLine="480"/>
        <w:rPr>
          <w:rFonts w:ascii="仿宋_GB2312" w:hAnsi="仿宋_GB2312" w:cs="仿宋_GB2312"/>
        </w:rPr>
      </w:pPr>
      <w:r>
        <w:rPr>
          <w:rFonts w:hint="eastAsia" w:ascii="仿宋_GB2312" w:hAnsi="仿宋_GB2312" w:cs="仿宋_GB2312"/>
        </w:rPr>
        <w:t>（6）污水处理站的运行日志、监测记录、维修记录、药品购买、使用记录、污泥消毒记录、水质监测送检记录、污水排放记录表等各类台帐由服务商制作、详实记录、装订并妥善保存。</w:t>
      </w:r>
    </w:p>
    <w:p>
      <w:pPr>
        <w:tabs>
          <w:tab w:val="left" w:pos="0"/>
        </w:tabs>
        <w:spacing w:line="276" w:lineRule="auto"/>
        <w:ind w:firstLine="480"/>
        <w:rPr>
          <w:rFonts w:ascii="仿宋_GB2312" w:hAnsi="仿宋_GB2312" w:cs="仿宋_GB2312"/>
        </w:rPr>
      </w:pPr>
      <w:r>
        <w:rPr>
          <w:rFonts w:hint="eastAsia" w:ascii="仿宋_GB2312" w:hAnsi="仿宋_GB2312" w:cs="仿宋_GB2312"/>
        </w:rPr>
        <w:t>（7）在运营期内，服务商随时接受各级部门的监督检查工作，按要求提供检查资料，并在规定时间内对检查中发现的问题进行整改。</w:t>
      </w:r>
    </w:p>
    <w:p>
      <w:pPr>
        <w:tabs>
          <w:tab w:val="left" w:pos="0"/>
        </w:tabs>
        <w:spacing w:line="276" w:lineRule="auto"/>
        <w:ind w:firstLine="480"/>
        <w:rPr>
          <w:rFonts w:ascii="仿宋_GB2312" w:hAnsi="仿宋_GB2312" w:cs="仿宋_GB2312"/>
        </w:rPr>
      </w:pPr>
      <w:r>
        <w:rPr>
          <w:rFonts w:hint="eastAsia" w:ascii="仿宋_GB2312" w:hAnsi="仿宋_GB2312" w:cs="仿宋_GB2312"/>
        </w:rPr>
        <w:t>（8）每年年终进行一次工作总结，以书面形式递交采购人。</w:t>
      </w:r>
    </w:p>
    <w:p>
      <w:pPr>
        <w:tabs>
          <w:tab w:val="left" w:pos="0"/>
        </w:tabs>
        <w:spacing w:line="276" w:lineRule="auto"/>
        <w:ind w:firstLine="480"/>
        <w:rPr>
          <w:rFonts w:ascii="仿宋_GB2312" w:hAnsi="仿宋_GB2312" w:cs="仿宋_GB2312"/>
        </w:rPr>
      </w:pPr>
      <w:r>
        <w:rPr>
          <w:rFonts w:hint="eastAsia" w:ascii="仿宋_GB2312" w:hAnsi="仿宋_GB2312" w:cs="仿宋_GB2312"/>
        </w:rPr>
        <w:t>（9）随时保持污水站值班室、操作间、药品库房干净整洁，每月不少于1次对周围环境进行大扫除，对有锈蚀的管道或设备进行刷漆，保持设备、墙面干净整洁。</w:t>
      </w:r>
    </w:p>
    <w:p>
      <w:pPr>
        <w:rPr>
          <w:rFonts w:ascii="仿宋_GB2312" w:hAnsi="仿宋_GB2312" w:cs="仿宋_GB2312"/>
        </w:rPr>
      </w:pPr>
      <w:r>
        <w:rPr>
          <w:rFonts w:hint="eastAsia" w:ascii="仿宋_GB2312" w:hAnsi="仿宋_GB2312" w:cs="仿宋_GB2312"/>
        </w:rPr>
        <w:t>（10）服务商须针对现场技术要求提供污水处理设施设备《运营技术方案》和《运营管理方案》。</w:t>
      </w:r>
    </w:p>
    <w:p>
      <w:pPr>
        <w:tabs>
          <w:tab w:val="left" w:pos="0"/>
        </w:tabs>
        <w:spacing w:line="276" w:lineRule="auto"/>
        <w:ind w:firstLine="480"/>
        <w:rPr>
          <w:rFonts w:ascii="Arial" w:hAnsi="Arial"/>
          <w:b/>
          <w:bCs/>
          <w:sz w:val="28"/>
          <w:szCs w:val="32"/>
          <w:lang w:val="zh-CN"/>
        </w:rPr>
      </w:pPr>
      <w:r>
        <w:rPr>
          <w:rFonts w:hint="eastAsia" w:ascii="仿宋_GB2312" w:hAnsi="仿宋_GB2312" w:cs="仿宋_GB2312"/>
        </w:rPr>
        <w:t>★</w:t>
      </w:r>
      <w:r>
        <w:rPr>
          <w:rFonts w:hint="eastAsia" w:ascii="Arial" w:hAnsi="Arial"/>
          <w:b/>
          <w:bCs/>
          <w:sz w:val="28"/>
          <w:szCs w:val="32"/>
          <w:lang w:val="zh-CN"/>
        </w:rPr>
        <w:t>五、设备设施维修维护要求</w:t>
      </w:r>
    </w:p>
    <w:p>
      <w:pPr>
        <w:tabs>
          <w:tab w:val="left" w:pos="0"/>
        </w:tabs>
        <w:spacing w:line="276" w:lineRule="auto"/>
        <w:ind w:firstLine="480"/>
        <w:rPr>
          <w:rFonts w:ascii="仿宋_GB2312" w:hAnsi="仿宋_GB2312" w:cs="仿宋_GB2312"/>
        </w:rPr>
      </w:pPr>
      <w:r>
        <w:rPr>
          <w:rFonts w:hint="eastAsia" w:ascii="仿宋_GB2312" w:hAnsi="仿宋_GB2312" w:cs="仿宋_GB2312"/>
        </w:rPr>
        <w:t>（1）采购人自有设备服务商负责更换正常使用损坏的部件（</w:t>
      </w:r>
      <w:r>
        <w:rPr>
          <w:rFonts w:hint="eastAsia"/>
        </w:rPr>
        <w:t>单件设备</w:t>
      </w:r>
      <w:r>
        <w:rPr>
          <w:rFonts w:hint="eastAsia" w:ascii="仿宋_GB2312" w:hAnsi="仿宋_GB2312" w:cs="仿宋_GB2312"/>
        </w:rPr>
        <w:t>500元（含500）</w:t>
      </w:r>
      <w:r>
        <w:rPr>
          <w:rFonts w:hint="eastAsia"/>
        </w:rPr>
        <w:t>以内的由供应商承担，</w:t>
      </w:r>
      <w:r>
        <w:rPr>
          <w:rFonts w:hint="eastAsia" w:ascii="仿宋_GB2312" w:hAnsi="仿宋_GB2312" w:cs="仿宋_GB2312"/>
        </w:rPr>
        <w:t>500元以上</w:t>
      </w:r>
      <w:r>
        <w:rPr>
          <w:rFonts w:hint="eastAsia"/>
        </w:rPr>
        <w:t>的超出部分经采购人许可后凭发票由采购人承担）</w:t>
      </w:r>
      <w:r>
        <w:rPr>
          <w:rFonts w:hint="eastAsia" w:ascii="仿宋_GB2312" w:hAnsi="仿宋_GB2312" w:cs="仿宋_GB2312"/>
        </w:rPr>
        <w:t>，服务商自行提供的设施设备采购人不承担任何维修费用。</w:t>
      </w:r>
    </w:p>
    <w:p>
      <w:pPr>
        <w:widowControl/>
        <w:numPr>
          <w:ilvl w:val="0"/>
          <w:numId w:val="2"/>
        </w:numPr>
        <w:tabs>
          <w:tab w:val="left" w:pos="0"/>
        </w:tabs>
        <w:spacing w:line="276" w:lineRule="auto"/>
        <w:ind w:firstLine="420" w:firstLineChars="200"/>
        <w:jc w:val="left"/>
        <w:rPr>
          <w:rFonts w:ascii="仿宋_GB2312" w:hAnsi="仿宋_GB2312" w:cs="仿宋_GB2312"/>
        </w:rPr>
      </w:pPr>
      <w:r>
        <w:rPr>
          <w:rFonts w:hint="eastAsia" w:ascii="仿宋_GB2312" w:hAnsi="仿宋_GB2312" w:cs="仿宋_GB2312"/>
        </w:rPr>
        <w:t>采购人现有设施和设备不再另行增加（具体设备配置情况请投标单位现场核实，采购方不统一组织勘察，但投标人必须确保在现有设备及状态下保证污水处理系统正常运行和达标排放），服务商所需所差设施设备（如药剂投加设备，泵等）自行提供与解决，采购人不予提供。</w:t>
      </w:r>
    </w:p>
    <w:p>
      <w:pPr>
        <w:tabs>
          <w:tab w:val="left" w:pos="0"/>
        </w:tabs>
        <w:spacing w:line="276" w:lineRule="auto"/>
        <w:ind w:firstLine="480"/>
        <w:rPr>
          <w:rFonts w:ascii="仿宋_GB2312" w:hAnsi="仿宋_GB2312" w:cs="仿宋_GB2312"/>
        </w:rPr>
      </w:pPr>
      <w:r>
        <w:rPr>
          <w:rFonts w:hint="eastAsia" w:ascii="仿宋_GB2312" w:hAnsi="仿宋_GB2312" w:cs="仿宋_GB2312"/>
        </w:rPr>
        <w:t>（3）采购人不另外支付设备维修劳务费及设备运行耗材的费用。</w:t>
      </w:r>
    </w:p>
    <w:p>
      <w:pPr>
        <w:tabs>
          <w:tab w:val="left" w:pos="0"/>
        </w:tabs>
        <w:spacing w:line="276" w:lineRule="auto"/>
        <w:ind w:firstLine="480"/>
        <w:rPr>
          <w:rFonts w:ascii="仿宋_GB2312" w:hAnsi="仿宋_GB2312" w:cs="仿宋_GB2312"/>
        </w:rPr>
      </w:pPr>
      <w:r>
        <w:rPr>
          <w:rFonts w:hint="eastAsia" w:ascii="仿宋_GB2312" w:hAnsi="仿宋_GB2312" w:cs="仿宋_GB2312"/>
        </w:rPr>
        <w:t>（4）移交服务商运营的设备，经双方鉴定无法运行设施设备，第一次维修或购置新设备更换费用由采购人承担。</w:t>
      </w:r>
    </w:p>
    <w:p>
      <w:pPr>
        <w:tabs>
          <w:tab w:val="left" w:pos="0"/>
        </w:tabs>
        <w:spacing w:line="276" w:lineRule="auto"/>
        <w:ind w:firstLine="480"/>
        <w:rPr>
          <w:rFonts w:ascii="仿宋_GB2312" w:hAnsi="仿宋_GB2312" w:cs="仿宋_GB2312"/>
        </w:rPr>
      </w:pPr>
      <w:r>
        <w:rPr>
          <w:rFonts w:hint="eastAsia" w:ascii="仿宋_GB2312" w:hAnsi="仿宋_GB2312" w:cs="仿宋_GB2312"/>
        </w:rPr>
        <w:t>（5）为保证污水处理站全部设备的正常运转，保持其良好状况，服务商必须按设备管理和安全操作规程使用设备外，必须严格遵守有关维护保养制度。</w:t>
      </w:r>
    </w:p>
    <w:p>
      <w:pPr>
        <w:tabs>
          <w:tab w:val="left" w:pos="0"/>
        </w:tabs>
        <w:spacing w:line="276" w:lineRule="auto"/>
        <w:ind w:firstLine="480"/>
        <w:rPr>
          <w:rFonts w:ascii="仿宋_GB2312" w:hAnsi="仿宋_GB2312" w:cs="仿宋_GB2312"/>
        </w:rPr>
      </w:pPr>
      <w:r>
        <w:rPr>
          <w:rFonts w:hint="eastAsia" w:ascii="仿宋_GB2312" w:hAnsi="仿宋_GB2312" w:cs="仿宋_GB2312"/>
        </w:rPr>
        <w:t>（6）在运营托管期内，服务商应根据确定的维护和大修计划，对项目设施定期进行例行大修。</w:t>
      </w:r>
    </w:p>
    <w:p>
      <w:pPr>
        <w:tabs>
          <w:tab w:val="left" w:pos="0"/>
        </w:tabs>
        <w:spacing w:line="276" w:lineRule="auto"/>
        <w:ind w:firstLine="480"/>
        <w:rPr>
          <w:rFonts w:ascii="仿宋_GB2312" w:hAnsi="仿宋_GB2312" w:cs="仿宋_GB2312"/>
        </w:rPr>
      </w:pPr>
      <w:r>
        <w:rPr>
          <w:rFonts w:hint="eastAsia" w:ascii="仿宋_GB2312" w:hAnsi="仿宋_GB2312" w:cs="仿宋_GB2312"/>
        </w:rPr>
        <w:t>（7）服务商承诺应在现场备一定数量的日常运行所需的备品备件、常用维修工具、劳保防护用品。</w:t>
      </w:r>
    </w:p>
    <w:p>
      <w:pPr>
        <w:tabs>
          <w:tab w:val="left" w:pos="0"/>
        </w:tabs>
        <w:spacing w:line="276" w:lineRule="auto"/>
        <w:ind w:firstLine="480"/>
        <w:rPr>
          <w:rFonts w:ascii="Arial" w:hAnsi="Arial"/>
          <w:b/>
          <w:bCs/>
          <w:sz w:val="28"/>
          <w:szCs w:val="32"/>
          <w:lang w:val="zh-CN"/>
        </w:rPr>
      </w:pPr>
      <w:r>
        <w:rPr>
          <w:rFonts w:hint="eastAsia" w:ascii="仿宋_GB2312" w:hAnsi="仿宋_GB2312" w:cs="仿宋_GB2312"/>
        </w:rPr>
        <w:t>★</w:t>
      </w:r>
      <w:r>
        <w:rPr>
          <w:rFonts w:hint="eastAsia" w:ascii="Arial" w:hAnsi="Arial"/>
          <w:b/>
          <w:bCs/>
          <w:sz w:val="28"/>
          <w:szCs w:val="32"/>
          <w:lang w:val="zh-CN"/>
        </w:rPr>
        <w:t>六、药剂、活性炭等相关要求</w:t>
      </w:r>
    </w:p>
    <w:p>
      <w:pPr>
        <w:snapToGrid w:val="0"/>
        <w:ind w:firstLine="480"/>
        <w:rPr>
          <w:rFonts w:ascii="仿宋_GB2312" w:hAnsi="仿宋_GB2312" w:cs="仿宋_GB2312"/>
          <w:szCs w:val="30"/>
        </w:rPr>
      </w:pPr>
      <w:r>
        <w:rPr>
          <w:rFonts w:hint="eastAsia" w:ascii="仿宋_GB2312" w:hAnsi="仿宋_GB2312" w:cs="仿宋_GB2312"/>
          <w:szCs w:val="30"/>
        </w:rPr>
        <w:t>（1）服务商负责购买质量合格的药剂（必须适用于医院污水处理消毒杀菌），并留存相关原始购买记录备查。</w:t>
      </w:r>
    </w:p>
    <w:p>
      <w:pPr>
        <w:snapToGrid w:val="0"/>
        <w:ind w:firstLine="480"/>
        <w:rPr>
          <w:rFonts w:ascii="仿宋_GB2312" w:hAnsi="仿宋_GB2312" w:cs="仿宋_GB2312"/>
          <w:szCs w:val="30"/>
        </w:rPr>
      </w:pPr>
      <w:r>
        <w:rPr>
          <w:rFonts w:hint="eastAsia" w:ascii="仿宋_GB2312" w:hAnsi="仿宋_GB2312" w:cs="仿宋_GB2312"/>
          <w:szCs w:val="30"/>
        </w:rPr>
        <w:t>（2）服务商采用资质齐全的合格消毒药剂。</w:t>
      </w:r>
    </w:p>
    <w:p>
      <w:pPr>
        <w:snapToGrid w:val="0"/>
        <w:ind w:firstLine="480"/>
        <w:rPr>
          <w:rFonts w:ascii="仿宋_GB2312" w:hAnsi="仿宋_GB2312" w:cs="仿宋_GB2312"/>
          <w:szCs w:val="30"/>
        </w:rPr>
      </w:pPr>
      <w:r>
        <w:rPr>
          <w:rFonts w:hint="eastAsia" w:ascii="仿宋_GB2312" w:hAnsi="仿宋_GB2312" w:cs="仿宋_GB2312"/>
          <w:szCs w:val="30"/>
        </w:rPr>
        <w:t>（3）服务商负责药品药剂的投放工作，确保污水站水质达标排放并做好药品投放记录。</w:t>
      </w:r>
    </w:p>
    <w:p>
      <w:pPr>
        <w:snapToGrid w:val="0"/>
        <w:ind w:firstLine="480"/>
        <w:rPr>
          <w:rFonts w:ascii="仿宋_GB2312" w:hAnsi="仿宋_GB2312" w:cs="仿宋_GB2312"/>
          <w:szCs w:val="30"/>
        </w:rPr>
      </w:pPr>
      <w:r>
        <w:rPr>
          <w:rFonts w:hint="eastAsia" w:ascii="仿宋_GB2312" w:hAnsi="仿宋_GB2312" w:cs="仿宋_GB2312"/>
          <w:szCs w:val="30"/>
        </w:rPr>
        <w:t>（4）服务商定期更换除臭箱内的活性炭（更换频次：一年两次），更换下来的废渣按照危险废物管理要求进行打包，</w:t>
      </w:r>
      <w:r>
        <w:rPr>
          <w:rFonts w:hint="eastAsia" w:ascii="仿宋_GB2312" w:hAnsi="仿宋_GB2312" w:cs="仿宋_GB2312"/>
        </w:rPr>
        <w:t>由服务商交于第三方具有专业资质的公司进行处置，并将转运联单及处置报告给采购人存档。</w:t>
      </w:r>
    </w:p>
    <w:p>
      <w:pPr>
        <w:tabs>
          <w:tab w:val="left" w:pos="0"/>
        </w:tabs>
        <w:spacing w:line="276" w:lineRule="auto"/>
        <w:ind w:firstLine="480"/>
        <w:rPr>
          <w:rFonts w:ascii="仿宋_GB2312" w:hAnsi="仿宋_GB2312" w:cs="仿宋_GB2312"/>
        </w:rPr>
      </w:pPr>
      <w:r>
        <w:rPr>
          <w:rFonts w:hint="eastAsia" w:ascii="仿宋_GB2312" w:hAnsi="仿宋_GB2312" w:cs="仿宋_GB2312"/>
        </w:rPr>
        <w:t>（5）服务商原则上不得使用危险化学药剂，若需使用，须先向采购人申请，经采购人综合评估后同意使用才可投入使用；且服务商必须做好相关管理及安全措施，若使用危险化学药剂造成事故，一切责任由服务商承担。</w:t>
      </w:r>
    </w:p>
    <w:p>
      <w:pPr>
        <w:tabs>
          <w:tab w:val="left" w:pos="0"/>
        </w:tabs>
        <w:spacing w:line="276" w:lineRule="auto"/>
        <w:ind w:firstLine="480"/>
        <w:rPr>
          <w:rFonts w:ascii="仿宋_GB2312" w:hAnsi="仿宋_GB2312" w:cs="仿宋_GB2312"/>
        </w:rPr>
      </w:pPr>
      <w:r>
        <w:rPr>
          <w:rFonts w:hint="eastAsia" w:ascii="仿宋_GB2312" w:hAnsi="仿宋_GB2312" w:cs="仿宋_GB2312"/>
        </w:rPr>
        <w:t>（6）服务商采购的药剂过期未使用，由服务商按废弃危险化学品进行处置，采购人不予负责。</w:t>
      </w:r>
    </w:p>
    <w:p>
      <w:pPr>
        <w:tabs>
          <w:tab w:val="left" w:pos="0"/>
        </w:tabs>
        <w:spacing w:line="276" w:lineRule="auto"/>
        <w:ind w:firstLine="480"/>
        <w:rPr>
          <w:rFonts w:ascii="仿宋_GB2312" w:hAnsi="仿宋_GB2312" w:cs="仿宋_GB2312"/>
        </w:rPr>
      </w:pPr>
      <w:r>
        <w:rPr>
          <w:rFonts w:hint="eastAsia" w:ascii="仿宋_GB2312" w:hAnsi="仿宋_GB2312" w:cs="仿宋_GB2312"/>
        </w:rPr>
        <w:t>（7）服务商对污水站使用的药剂要留有一月的库存量，不得出现断货，无法加药的情况。</w:t>
      </w:r>
    </w:p>
    <w:p>
      <w:pPr>
        <w:tabs>
          <w:tab w:val="left" w:pos="0"/>
        </w:tabs>
        <w:spacing w:line="276" w:lineRule="auto"/>
        <w:ind w:firstLine="480"/>
        <w:rPr>
          <w:rFonts w:ascii="仿宋_GB2312" w:hAnsi="仿宋_GB2312" w:cs="仿宋_GB2312"/>
        </w:rPr>
      </w:pPr>
      <w:r>
        <w:rPr>
          <w:rFonts w:hint="eastAsia" w:ascii="仿宋_GB2312" w:hAnsi="仿宋_GB2312" w:cs="仿宋_GB2312"/>
        </w:rPr>
        <w:t>（8）服务商负责药品库房的规范化管理，分类规放，干净整洁，台帐清晰。</w:t>
      </w:r>
    </w:p>
    <w:p>
      <w:pPr>
        <w:widowControl/>
        <w:tabs>
          <w:tab w:val="left" w:pos="0"/>
        </w:tabs>
        <w:spacing w:line="276" w:lineRule="auto"/>
        <w:jc w:val="left"/>
        <w:rPr>
          <w:rFonts w:ascii="Arial" w:hAnsi="Arial"/>
          <w:b/>
          <w:bCs/>
          <w:sz w:val="28"/>
          <w:szCs w:val="32"/>
          <w:lang w:val="zh-CN"/>
        </w:rPr>
      </w:pPr>
      <w:r>
        <w:rPr>
          <w:rFonts w:hint="eastAsia" w:ascii="Arial" w:hAnsi="Arial"/>
          <w:b/>
          <w:bCs/>
          <w:sz w:val="28"/>
          <w:szCs w:val="32"/>
          <w:lang w:val="zh-CN"/>
        </w:rPr>
        <w:t>七、现场人员基本配置要求</w:t>
      </w:r>
    </w:p>
    <w:p>
      <w:pPr>
        <w:widowControl/>
        <w:tabs>
          <w:tab w:val="left" w:pos="0"/>
        </w:tabs>
        <w:spacing w:line="276" w:lineRule="auto"/>
        <w:jc w:val="left"/>
        <w:rPr>
          <w:rFonts w:ascii="宋体" w:hAnsi="宋体"/>
          <w:b/>
          <w:sz w:val="24"/>
        </w:rPr>
      </w:pPr>
      <w:r>
        <w:rPr>
          <w:rFonts w:hint="eastAsia" w:ascii="宋体" w:hAnsi="宋体"/>
          <w:b/>
          <w:sz w:val="24"/>
        </w:rPr>
        <w:t>1、项目负责人</w:t>
      </w:r>
    </w:p>
    <w:p>
      <w:pPr>
        <w:tabs>
          <w:tab w:val="left" w:pos="0"/>
        </w:tabs>
        <w:spacing w:line="276" w:lineRule="auto"/>
        <w:ind w:firstLine="480"/>
        <w:rPr>
          <w:rFonts w:ascii="仿宋_GB2312" w:hAnsi="仿宋_GB2312" w:cs="仿宋_GB2312"/>
        </w:rPr>
      </w:pPr>
      <w:r>
        <w:rPr>
          <w:rFonts w:hint="eastAsia" w:ascii="仿宋_GB2312" w:hAnsi="仿宋_GB2312" w:cs="仿宋_GB2312"/>
        </w:rPr>
        <w:t>（1）需具有《污水处理工证》，且从事污水处理工作2年及以上工作经验。负责现场工作的安排及协调，劳动力组织；安全及消防管理；负责操作人员日常工作的检查及考核；负责现场维检修方案的制定及实施的落实；维检修的人员协调；</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2）了解业主污水处理工艺，熟悉国家环保相关法律法规、行业规定及流程。负责水质取样送检的督促和监督；负责现场采购计划的报批以及采购物资的出入库办理；负责每月污水站基础数据的统计及分析，现场资料的收集及整理；</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3）具有良好的沟通能力以及现场协调能力，具有一定的现场管理经验。负责人员的定期业务培训、管理培训、知识更新培训；负责每年不低于两次应急演练的方案编制及演练实施；负责落实业主临时交代的工作任务。</w:t>
      </w:r>
    </w:p>
    <w:p>
      <w:pPr>
        <w:tabs>
          <w:tab w:val="left" w:pos="0"/>
        </w:tabs>
        <w:spacing w:line="276" w:lineRule="auto"/>
        <w:rPr>
          <w:rFonts w:ascii="宋体" w:hAnsi="宋体"/>
          <w:b/>
          <w:sz w:val="24"/>
        </w:rPr>
      </w:pPr>
      <w:r>
        <w:rPr>
          <w:rFonts w:hint="eastAsia" w:ascii="宋体" w:hAnsi="宋体"/>
          <w:b/>
          <w:sz w:val="24"/>
        </w:rPr>
        <w:t>2、污水操作工</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（1）操作人员必须持证上岗《污水处理工证》）；负责污水处理站的日常运行工作。负责化粪池、工艺水池的巡检巡查；设备设施的巡检、维修、维护；</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（2）上岗前必须进行体检，取得合格体检报告，体检报告交由业主一份进行存档备案。每天负责排污口水量大小及水质的观察，负责余氯及PH的每日不低于2次监测；</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（3）必须全面了解业主污水处理工艺，熟悉国家环保相关法律法规、行业规定及流程。负责每天药剂的投加以满足污水处理需要；</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（4）熟悉了解现场设备操作规程及维护保养方法。负责水样的提取及送检；负责每日运营现场及周边环境的清洁；</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（5）清楚熟悉每日工作内容。根据工作完成情况按要求做好记录。负责每日外排污水达标排放。</w:t>
      </w:r>
    </w:p>
    <w:p>
      <w:pPr>
        <w:tabs>
          <w:tab w:val="left" w:pos="0"/>
        </w:tabs>
        <w:spacing w:line="276" w:lineRule="auto"/>
        <w:ind w:firstLine="480"/>
        <w:rPr>
          <w:rFonts w:ascii="宋体" w:hAnsi="宋体"/>
          <w:b/>
          <w:sz w:val="24"/>
        </w:rPr>
      </w:pPr>
      <w:r>
        <w:rPr>
          <w:rFonts w:hint="eastAsia" w:ascii="宋体" w:hAnsi="宋体"/>
          <w:b/>
          <w:sz w:val="24"/>
        </w:rPr>
        <w:t>3、技术负责人</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（1）需具有《污水处理工证》，且从事污水处理工作2年及以上工作经验。不定期进行现场运营巡查、检查，并根据检查发现的问题提出整改方案；</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（2）了解业主污水处理工艺，熟悉国家环保相关法律法规、行业规定及流程。</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（3）具有解决现场技术问题并提出合理解决方案的能力；审核现场提交的物资申请。现场及业主提出的技术问题的落实及书面反馈；</w:t>
      </w:r>
    </w:p>
    <w:p>
      <w:pPr>
        <w:tabs>
          <w:tab w:val="left" w:pos="0"/>
        </w:tabs>
        <w:spacing w:line="276" w:lineRule="auto"/>
        <w:ind w:firstLine="480"/>
        <w:rPr>
          <w:rFonts w:ascii="宋体" w:hAnsi="宋体"/>
          <w:b/>
          <w:sz w:val="24"/>
        </w:rPr>
      </w:pPr>
      <w:r>
        <w:rPr>
          <w:rFonts w:hint="eastAsia" w:ascii="宋体" w:hAnsi="宋体"/>
          <w:b/>
          <w:sz w:val="24"/>
        </w:rPr>
        <w:t>4、检修人员</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由投标方自行配置，可不固定但需24小时响应，具有电工、焊工操作证，现场设备的维检修。</w:t>
      </w:r>
    </w:p>
    <w:p>
      <w:pPr>
        <w:tabs>
          <w:tab w:val="left" w:pos="0"/>
        </w:tabs>
        <w:spacing w:line="276" w:lineRule="auto"/>
        <w:ind w:firstLine="480"/>
        <w:rPr>
          <w:rFonts w:ascii="宋体" w:hAnsi="宋体"/>
          <w:b/>
          <w:sz w:val="24"/>
        </w:rPr>
      </w:pPr>
      <w:r>
        <w:rPr>
          <w:rFonts w:hint="eastAsia" w:ascii="宋体" w:hAnsi="宋体"/>
          <w:b/>
          <w:sz w:val="24"/>
        </w:rPr>
        <w:t>5、污水站设备管理操作员</w:t>
      </w:r>
    </w:p>
    <w:p>
      <w:pPr>
        <w:tabs>
          <w:tab w:val="left" w:pos="0"/>
        </w:tabs>
        <w:spacing w:line="276" w:lineRule="auto"/>
        <w:ind w:firstLine="480"/>
        <w:rPr>
          <w:rFonts w:ascii="仿宋_GB2312" w:hAnsi="仿宋_GB2312" w:cs="仿宋_GB2312"/>
        </w:rPr>
      </w:pPr>
      <w:r>
        <w:rPr>
          <w:rFonts w:hint="eastAsia" w:ascii="仿宋_GB2312" w:hAnsi="仿宋_GB2312" w:cs="仿宋_GB2312"/>
        </w:rPr>
        <w:t>统一着装上岗，服从服务商及采购人的管理制度。必须遵守医院的各项规章制度，服从采购人管理人员检查和监督。并且要保护好站内的一切公共设施、消防设施及保持站内及周边环境卫生，违者按采购人规定处罚。</w:t>
      </w:r>
    </w:p>
    <w:p>
      <w:pPr>
        <w:tabs>
          <w:tab w:val="left" w:pos="0"/>
        </w:tabs>
        <w:spacing w:line="276" w:lineRule="auto"/>
        <w:ind w:firstLine="480"/>
        <w:rPr>
          <w:rFonts w:ascii="宋体" w:hAnsi="宋体"/>
          <w:sz w:val="24"/>
        </w:rPr>
      </w:pPr>
      <w:r>
        <w:rPr>
          <w:rFonts w:hint="eastAsia" w:ascii="仿宋_GB2312" w:hAnsi="仿宋_GB2312" w:cs="仿宋_GB2312"/>
        </w:rPr>
        <w:t>上述人员可一人兼多个岗位，但总体团队不得低于2人，且提供所有人员的证书复印件及近三月在投标单位的社保证明，确认中标后在签订合同前向采购人提供所有人员健康体检报告备案</w:t>
      </w:r>
    </w:p>
    <w:p>
      <w:pPr>
        <w:tabs>
          <w:tab w:val="left" w:pos="0"/>
        </w:tabs>
        <w:spacing w:line="276" w:lineRule="auto"/>
        <w:ind w:firstLine="480"/>
        <w:rPr>
          <w:rFonts w:ascii="宋体" w:hAnsi="宋体"/>
          <w:b/>
          <w:sz w:val="24"/>
        </w:rPr>
      </w:pPr>
      <w:r>
        <w:rPr>
          <w:rFonts w:hint="eastAsia" w:ascii="宋体" w:hAnsi="宋体"/>
          <w:b/>
          <w:sz w:val="24"/>
        </w:rPr>
        <w:t>6、安全职业防护要求</w:t>
      </w:r>
    </w:p>
    <w:p>
      <w:pPr>
        <w:ind w:firstLine="480"/>
        <w:rPr>
          <w:rFonts w:ascii="仿宋_GB2312" w:hAnsi="仿宋_GB2312" w:cs="仿宋_GB2312"/>
        </w:rPr>
      </w:pPr>
      <w:r>
        <w:rPr>
          <w:rFonts w:hint="eastAsia" w:ascii="仿宋_GB2312" w:hAnsi="仿宋_GB2312" w:cs="仿宋_GB2312"/>
        </w:rPr>
        <w:t>（1）服务商配备至少两套安全防护用具（防护眼镜、塑胶手套、防毒面具、头套、防护服等、一次性手套等）及应急急救箱，费用由服务商负担。</w:t>
      </w:r>
    </w:p>
    <w:p>
      <w:pPr>
        <w:ind w:firstLine="480"/>
        <w:rPr>
          <w:rFonts w:ascii="仿宋_GB2312" w:hAnsi="仿宋_GB2312" w:cs="仿宋_GB2312"/>
        </w:rPr>
      </w:pPr>
      <w:r>
        <w:rPr>
          <w:rFonts w:hint="eastAsia" w:ascii="仿宋_GB2312" w:hAnsi="仿宋_GB2312" w:cs="仿宋_GB2312"/>
        </w:rPr>
        <w:t>（2）现场工作人员必须严格按照安全防护要求进行操作。</w:t>
      </w:r>
    </w:p>
    <w:p>
      <w:pPr>
        <w:ind w:firstLine="480"/>
        <w:rPr>
          <w:rFonts w:ascii="仿宋_GB2312" w:hAnsi="仿宋_GB2312" w:cs="仿宋_GB2312"/>
        </w:rPr>
      </w:pPr>
      <w:r>
        <w:rPr>
          <w:rFonts w:hint="eastAsia" w:ascii="仿宋_GB2312" w:hAnsi="仿宋_GB2312" w:cs="仿宋_GB2312"/>
        </w:rPr>
        <w:t>（3）现场工作人员人员必须掌握七步洗手法。</w:t>
      </w:r>
    </w:p>
    <w:p>
      <w:pPr>
        <w:tabs>
          <w:tab w:val="left" w:pos="0"/>
        </w:tabs>
        <w:spacing w:line="276" w:lineRule="auto"/>
        <w:ind w:firstLine="420" w:firstLineChars="200"/>
        <w:rPr>
          <w:rFonts w:ascii="仿宋_GB2312" w:hAnsi="仿宋_GB2312" w:cs="仿宋_GB2312"/>
        </w:rPr>
      </w:pPr>
      <w:r>
        <w:rPr>
          <w:rFonts w:hint="eastAsia" w:ascii="仿宋_GB2312" w:hAnsi="仿宋_GB2312" w:cs="仿宋_GB2312"/>
        </w:rPr>
        <w:t>（4）必须严格执行职业防护要求进行取样。</w:t>
      </w:r>
    </w:p>
    <w:p>
      <w:pPr>
        <w:tabs>
          <w:tab w:val="left" w:pos="0"/>
        </w:tabs>
        <w:spacing w:line="276" w:lineRule="auto"/>
        <w:ind w:firstLine="420" w:firstLineChars="200"/>
        <w:rPr>
          <w:rFonts w:ascii="宋体" w:hAnsi="宋体"/>
          <w:b/>
          <w:sz w:val="24"/>
        </w:rPr>
      </w:pPr>
      <w:r>
        <w:rPr>
          <w:rFonts w:hint="eastAsia" w:ascii="仿宋_GB2312" w:hAnsi="仿宋_GB2312" w:cs="仿宋_GB2312"/>
        </w:rPr>
        <w:t>★</w:t>
      </w:r>
      <w:r>
        <w:rPr>
          <w:rFonts w:hint="eastAsia" w:ascii="宋体" w:hAnsi="宋体"/>
          <w:b/>
          <w:sz w:val="24"/>
        </w:rPr>
        <w:t>7、人员工伤事故保险</w:t>
      </w:r>
    </w:p>
    <w:p>
      <w:pPr>
        <w:tabs>
          <w:tab w:val="left" w:pos="0"/>
        </w:tabs>
        <w:spacing w:line="276" w:lineRule="auto"/>
        <w:rPr>
          <w:rFonts w:ascii="宋体" w:hAnsi="宋体"/>
          <w:sz w:val="24"/>
        </w:rPr>
      </w:pPr>
      <w:r>
        <w:rPr>
          <w:rFonts w:hint="eastAsia" w:ascii="仿宋_GB2312" w:hAnsi="仿宋_GB2312" w:cs="仿宋_GB2312"/>
        </w:rPr>
        <w:t>★服务商应依照有关法律规定参加工伤保险，为其履行合同所雇佣的全部人员，缴纳工伤保险费。服务商因执行工作而造成采购人、服务商工作人员以及第三人损害的，由服务商承担全部责任。</w:t>
      </w:r>
    </w:p>
    <w:p>
      <w:pPr>
        <w:pStyle w:val="3"/>
        <w:spacing w:before="0" w:after="0" w:line="560" w:lineRule="exact"/>
        <w:rPr>
          <w:rFonts w:ascii="宋体" w:hAnsi="宋体" w:eastAsia="宋体"/>
          <w:bCs w:val="0"/>
          <w:sz w:val="24"/>
          <w:szCs w:val="24"/>
        </w:rPr>
      </w:pPr>
      <w:r>
        <w:rPr>
          <w:rFonts w:hint="eastAsia" w:ascii="仿宋_GB2312" w:hAnsi="仿宋_GB2312" w:cs="仿宋_GB2312"/>
        </w:rPr>
        <w:t>★</w:t>
      </w:r>
      <w:r>
        <w:rPr>
          <w:rFonts w:hint="eastAsia" w:ascii="宋体" w:hAnsi="宋体" w:eastAsia="宋体"/>
          <w:b w:val="0"/>
          <w:bCs w:val="0"/>
          <w:sz w:val="24"/>
          <w:szCs w:val="24"/>
        </w:rPr>
        <w:t>8</w:t>
      </w:r>
      <w:r>
        <w:rPr>
          <w:rFonts w:hint="eastAsia" w:ascii="宋体" w:hAnsi="宋体" w:eastAsia="宋体"/>
          <w:bCs w:val="0"/>
          <w:sz w:val="24"/>
          <w:szCs w:val="24"/>
        </w:rPr>
        <w:t>、技术要求</w:t>
      </w:r>
    </w:p>
    <w:p>
      <w:pPr>
        <w:ind w:firstLine="480"/>
        <w:rPr>
          <w:rFonts w:ascii="仿宋_GB2312" w:hAnsi="仿宋_GB2312" w:cs="仿宋_GB2312"/>
        </w:rPr>
      </w:pPr>
      <w:r>
        <w:rPr>
          <w:rFonts w:hint="eastAsia" w:ascii="仿宋_GB2312" w:hAnsi="仿宋_GB2312" w:cs="仿宋_GB2312"/>
        </w:rPr>
        <w:t>★运营质量执行依据：</w:t>
      </w:r>
    </w:p>
    <w:p>
      <w:pPr>
        <w:ind w:firstLine="480"/>
        <w:rPr>
          <w:rFonts w:ascii="仿宋_GB2312" w:hAnsi="仿宋_GB2312" w:cs="仿宋_GB2312"/>
        </w:rPr>
      </w:pPr>
      <w:r>
        <w:rPr>
          <w:rFonts w:hint="eastAsia" w:ascii="仿宋_GB2312" w:hAnsi="仿宋_GB2312" w:cs="仿宋_GB2312"/>
        </w:rPr>
        <w:t>（1）以上所有要求包括但不限于，在运营期间均需符合《医疗机构水污染物排放标准》(GB18466-2005)；</w:t>
      </w:r>
    </w:p>
    <w:p>
      <w:pPr>
        <w:ind w:firstLine="480"/>
        <w:rPr>
          <w:rFonts w:ascii="仿宋_GB2312" w:hAnsi="仿宋_GB2312" w:cs="仿宋_GB2312"/>
        </w:rPr>
      </w:pPr>
      <w:r>
        <w:rPr>
          <w:rFonts w:hint="eastAsia" w:ascii="仿宋_GB2312" w:hAnsi="仿宋_GB2312" w:cs="仿宋_GB2312"/>
        </w:rPr>
        <w:t>（2）</w:t>
      </w:r>
      <w:r>
        <w:rPr>
          <w:rFonts w:hint="eastAsia"/>
        </w:rPr>
        <w:t>废气实行有组织排放，执行标准《恶臭污染物排放标准》（G</w:t>
      </w:r>
      <w:r>
        <w:t>B14554-93</w:t>
      </w:r>
      <w:r>
        <w:rPr>
          <w:rFonts w:hint="eastAsia"/>
        </w:rPr>
        <w:t>）</w:t>
      </w:r>
      <w:r>
        <w:rPr>
          <w:rFonts w:hint="eastAsia" w:ascii="仿宋_GB2312" w:hAnsi="仿宋_GB2312" w:cs="仿宋_GB2312"/>
        </w:rPr>
        <w:t>；</w:t>
      </w:r>
    </w:p>
    <w:p>
      <w:pPr>
        <w:ind w:firstLine="480"/>
        <w:rPr>
          <w:rFonts w:ascii="仿宋_GB2312" w:hAnsi="仿宋_GB2312" w:cs="仿宋_GB2312"/>
        </w:rPr>
      </w:pPr>
      <w:r>
        <w:rPr>
          <w:rFonts w:hint="eastAsia" w:ascii="仿宋_GB2312" w:hAnsi="仿宋_GB2312" w:cs="仿宋_GB2312"/>
        </w:rPr>
        <w:t>（3）ISO9001质量体系的要求；</w:t>
      </w:r>
    </w:p>
    <w:p>
      <w:pPr>
        <w:ind w:firstLine="480"/>
        <w:rPr>
          <w:rFonts w:ascii="仿宋_GB2312" w:hAnsi="仿宋_GB2312" w:cs="仿宋_GB2312"/>
        </w:rPr>
      </w:pPr>
      <w:r>
        <w:rPr>
          <w:rFonts w:hint="eastAsia" w:ascii="仿宋_GB2312" w:hAnsi="仿宋_GB2312" w:cs="仿宋_GB2312"/>
        </w:rPr>
        <w:t>（4）ISO14000环境管理认证体系的要求；</w:t>
      </w:r>
    </w:p>
    <w:p>
      <w:pPr>
        <w:ind w:firstLine="480"/>
        <w:rPr>
          <w:rFonts w:ascii="仿宋_GB2312" w:hAnsi="仿宋_GB2312" w:cs="仿宋_GB2312"/>
        </w:rPr>
      </w:pPr>
      <w:r>
        <w:rPr>
          <w:rFonts w:hint="eastAsia" w:ascii="仿宋_GB2312" w:hAnsi="仿宋_GB2312" w:cs="仿宋_GB2312"/>
        </w:rPr>
        <w:t>（5）其他相关适用法律法规的规定；</w:t>
      </w:r>
    </w:p>
    <w:p>
      <w:pPr>
        <w:pStyle w:val="265"/>
        <w:numPr>
          <w:ilvl w:val="0"/>
          <w:numId w:val="3"/>
        </w:numPr>
        <w:ind w:firstLineChars="0"/>
        <w:rPr>
          <w:rFonts w:ascii="仿宋_GB2312" w:hAnsi="仿宋_GB2312" w:cs="仿宋_GB2312"/>
        </w:rPr>
      </w:pPr>
      <w:r>
        <w:rPr>
          <w:rFonts w:hint="eastAsia" w:ascii="仿宋_GB2312" w:hAnsi="仿宋_GB2312" w:cs="仿宋_GB2312"/>
        </w:rPr>
        <w:t>通行的运营惯例和方法以及谨慎运营的原则。</w:t>
      </w:r>
    </w:p>
    <w:p>
      <w:pPr>
        <w:tabs>
          <w:tab w:val="left" w:pos="0"/>
        </w:tabs>
        <w:spacing w:line="276" w:lineRule="auto"/>
        <w:ind w:firstLine="480"/>
        <w:rPr>
          <w:rFonts w:ascii="仿宋_GB2312" w:hAnsi="仿宋_GB2312" w:cs="仿宋_GB2312"/>
        </w:rPr>
      </w:pPr>
      <w:r>
        <w:rPr>
          <w:rFonts w:hint="eastAsia" w:ascii="仿宋_GB2312" w:hAnsi="仿宋_GB2312" w:cs="仿宋_GB2312"/>
        </w:rPr>
        <w:t>八、违约责任</w:t>
      </w:r>
    </w:p>
    <w:p>
      <w:pPr>
        <w:ind w:firstLine="480"/>
        <w:rPr>
          <w:rFonts w:ascii="仿宋_GB2312" w:hAnsi="仿宋_GB2312" w:cs="仿宋_GB2312"/>
        </w:rPr>
      </w:pPr>
      <w:r>
        <w:rPr>
          <w:rFonts w:hint="eastAsia" w:ascii="仿宋_GB2312" w:hAnsi="仿宋_GB2312" w:cs="仿宋_GB2312"/>
        </w:rPr>
        <w:t>1.运营托管期内，未按国家相关规定提供运营托管工作或未认真填写相关记录，发现一次处扣100元，半年内发现第二次加倍，以此类推。</w:t>
      </w:r>
    </w:p>
    <w:p>
      <w:pPr>
        <w:ind w:firstLine="480"/>
        <w:rPr>
          <w:rFonts w:ascii="仿宋_GB2312" w:hAnsi="仿宋_GB2312" w:cs="仿宋_GB2312"/>
        </w:rPr>
      </w:pPr>
      <w:r>
        <w:rPr>
          <w:rFonts w:hint="eastAsia" w:ascii="仿宋_GB2312" w:hAnsi="仿宋_GB2312" w:cs="仿宋_GB2312"/>
        </w:rPr>
        <w:t>2.运营托管期内，工作人员电话无故停机、关机，发现一次扣100元，半年内发现第二次加倍，以此类推。</w:t>
      </w:r>
    </w:p>
    <w:p>
      <w:pPr>
        <w:ind w:firstLine="480"/>
        <w:rPr>
          <w:rFonts w:ascii="仿宋_GB2312" w:hAnsi="仿宋_GB2312" w:cs="仿宋_GB2312"/>
        </w:rPr>
      </w:pPr>
      <w:r>
        <w:rPr>
          <w:rFonts w:hint="eastAsia" w:ascii="仿宋_GB2312" w:hAnsi="仿宋_GB2312" w:cs="仿宋_GB2312"/>
        </w:rPr>
        <w:t>3.运营托管期内，发生设备故障或停运，服务商未及时汇报，或服务商项目负责人未在15分钟内到达现场并处理故障，发现一次处扣200元，半年内发现第二次加倍，以此类推。</w:t>
      </w:r>
    </w:p>
    <w:p>
      <w:pPr>
        <w:ind w:firstLine="480"/>
        <w:rPr>
          <w:rFonts w:ascii="仿宋_GB2312" w:hAnsi="仿宋_GB2312" w:cs="仿宋_GB2312"/>
        </w:rPr>
      </w:pPr>
      <w:r>
        <w:rPr>
          <w:rFonts w:hint="eastAsia" w:ascii="仿宋_GB2312" w:hAnsi="仿宋_GB2312" w:cs="仿宋_GB2312"/>
        </w:rPr>
        <w:t>4.运营托管期内，若发现更换的零配件以次充好，假冒伪劣，发现一次扣500元，且不予支付零配件费用，已支付的从应付维保款项中扣除。</w:t>
      </w:r>
    </w:p>
    <w:p>
      <w:pPr>
        <w:ind w:firstLine="480"/>
        <w:rPr>
          <w:rFonts w:ascii="仿宋_GB2312" w:hAnsi="仿宋_GB2312" w:cs="仿宋_GB2312"/>
        </w:rPr>
      </w:pPr>
      <w:r>
        <w:rPr>
          <w:rFonts w:hint="eastAsia" w:ascii="仿宋_GB2312" w:hAnsi="仿宋_GB2312" w:cs="仿宋_GB2312"/>
        </w:rPr>
        <w:t>5.运营托管期内，发现未定期对现场工作人员进行培训，发现一次扣100元，半年度发现第二次加倍，以此类推。</w:t>
      </w:r>
    </w:p>
    <w:p>
      <w:pPr>
        <w:ind w:firstLine="480"/>
        <w:rPr>
          <w:rFonts w:ascii="仿宋_GB2312" w:hAnsi="仿宋_GB2312" w:cs="仿宋_GB2312"/>
        </w:rPr>
      </w:pPr>
      <w:r>
        <w:rPr>
          <w:rFonts w:hint="eastAsia" w:ascii="仿宋_GB2312" w:hAnsi="仿宋_GB2312" w:cs="仿宋_GB2312"/>
        </w:rPr>
        <w:t>6.运营托管期内，发现站内设备一周以内同一故障发生2次，扣200元。</w:t>
      </w:r>
    </w:p>
    <w:p>
      <w:pPr>
        <w:ind w:firstLine="480"/>
        <w:rPr>
          <w:rFonts w:ascii="仿宋_GB2312" w:hAnsi="仿宋_GB2312" w:cs="仿宋_GB2312"/>
        </w:rPr>
      </w:pPr>
      <w:r>
        <w:rPr>
          <w:rFonts w:hint="eastAsia" w:ascii="仿宋_GB2312" w:hAnsi="仿宋_GB2312" w:cs="仿宋_GB2312"/>
        </w:rPr>
        <w:t>7.发现未定期更换活性炭，经采购人提醒3次仍不执行的，采购人有权自行购买，购买费用从应支付的维保费中扣除，并罚款5000元。</w:t>
      </w:r>
    </w:p>
    <w:p>
      <w:pPr>
        <w:ind w:firstLine="480"/>
        <w:rPr>
          <w:rFonts w:ascii="仿宋_GB2312" w:hAnsi="仿宋_GB2312" w:cs="仿宋_GB2312"/>
        </w:rPr>
      </w:pPr>
      <w:r>
        <w:rPr>
          <w:rFonts w:hint="eastAsia" w:ascii="仿宋_GB2312" w:hAnsi="仿宋_GB2312" w:cs="仿宋_GB2312"/>
        </w:rPr>
        <w:t>8.在污水处理站运营托管期间，服务商必须按合同要求，对污水处理站进行8小时值守，采购人有权对此进行不定时检查。如果检查中发现值班人员无故脱岗，每次罚款100元，员工累计脱岗次数超过3次，采购人有权要求服务商对污水站脱岗值班人员进行更换；污水处理站岗位脱岗累计超过5次的，采购人有权终止合同，如因脱岗产生不良后果的，服务商还应承担所有责任。</w:t>
      </w:r>
    </w:p>
    <w:p>
      <w:pPr>
        <w:ind w:firstLine="480"/>
        <w:rPr>
          <w:rFonts w:ascii="仿宋_GB2312" w:hAnsi="仿宋_GB2312" w:cs="仿宋_GB2312"/>
        </w:rPr>
      </w:pPr>
      <w:r>
        <w:rPr>
          <w:rFonts w:hint="eastAsia" w:ascii="仿宋_GB2312" w:hAnsi="仿宋_GB2312" w:cs="仿宋_GB2312"/>
        </w:rPr>
        <w:t>9.经采购人检查发现，服务商未按照规定记录污水处理站运行情况的、检测相关的监测指标，服务商应按100元/次支付违约金，如服务商未按规定进行维护保养的，服务商应按200元/次支付违约金，如因服务商维修保养不及时导致不良后果的，除支付违约金外，服务商还应承担全部责任。</w:t>
      </w:r>
    </w:p>
    <w:p>
      <w:pPr>
        <w:ind w:firstLine="480"/>
        <w:rPr>
          <w:rFonts w:ascii="仿宋_GB2312" w:hAnsi="仿宋_GB2312" w:cs="仿宋_GB2312"/>
        </w:rPr>
      </w:pPr>
      <w:r>
        <w:rPr>
          <w:rFonts w:hint="eastAsia" w:ascii="仿宋_GB2312" w:hAnsi="仿宋_GB2312" w:cs="仿宋_GB2312"/>
        </w:rPr>
        <w:t>10.经采购人检查发现，服务商未按照规定足量使用药剂，服务商应按1000元/次支付违约金，如因服务商药剂使用不足造成不良后果的，除支付违约金外，服务商还应承担全部责任。</w:t>
      </w:r>
    </w:p>
    <w:p>
      <w:pPr>
        <w:ind w:firstLine="480"/>
        <w:rPr>
          <w:rFonts w:ascii="仿宋_GB2312" w:hAnsi="仿宋_GB2312" w:cs="仿宋_GB2312"/>
        </w:rPr>
      </w:pPr>
      <w:r>
        <w:rPr>
          <w:rFonts w:hint="eastAsia" w:ascii="仿宋_GB2312" w:hAnsi="仿宋_GB2312" w:cs="仿宋_GB2312"/>
        </w:rPr>
        <w:t>11.服务商运营期间，保证采购人的设备设施完好无损，正常运行，严格按照处理工艺执行，保证污水处理达标，污水处理站设备发生故障后，服务商未能在双方约定时间内对设备进行修复时，服务商按每日500元支付违约金。如果因服务商原因未对污水处理站故障设备进行修复，经环保单位检查发现相应问题或造成不良后果的，必须在环保部门或采购人规定的时间内彻底整改，相关责任及由此造成的损失由服务商承担。</w:t>
      </w:r>
    </w:p>
    <w:p>
      <w:pPr>
        <w:ind w:firstLine="480"/>
        <w:rPr>
          <w:rFonts w:ascii="仿宋_GB2312" w:hAnsi="仿宋_GB2312" w:cs="仿宋_GB2312"/>
        </w:rPr>
      </w:pPr>
      <w:r>
        <w:rPr>
          <w:rFonts w:hint="eastAsia" w:ascii="仿宋_GB2312" w:hAnsi="仿宋_GB2312" w:cs="仿宋_GB2312"/>
        </w:rPr>
        <w:t>12.服务商按照采购人要求对废水进行检测，如漏测一次，服务商按每次100元支付违约金；如相关数据检测不合格，则服务商应进行整改只至检测合格为止。</w:t>
      </w:r>
    </w:p>
    <w:p>
      <w:pPr>
        <w:ind w:firstLine="480"/>
        <w:rPr>
          <w:rFonts w:ascii="仿宋_GB2312" w:hAnsi="仿宋_GB2312" w:cs="仿宋_GB2312"/>
        </w:rPr>
      </w:pPr>
      <w:r>
        <w:rPr>
          <w:rFonts w:hint="eastAsia" w:ascii="仿宋_GB2312" w:hAnsi="仿宋_GB2312" w:cs="仿宋_GB2312"/>
        </w:rPr>
        <w:t>13.未按要求及时配合招标人办理排污许可证，延期一天，扣50元，以此类推。</w:t>
      </w:r>
    </w:p>
    <w:p>
      <w:pPr>
        <w:ind w:firstLine="480"/>
        <w:rPr>
          <w:rFonts w:ascii="仿宋_GB2312" w:hAnsi="仿宋_GB2312" w:cs="仿宋_GB2312"/>
          <w:color w:val="FF0000"/>
        </w:rPr>
      </w:pPr>
      <w:r>
        <w:rPr>
          <w:rFonts w:hint="eastAsia" w:ascii="仿宋_GB2312" w:hAnsi="仿宋_GB2312" w:cs="仿宋_GB2312"/>
        </w:rPr>
        <w:t>★14.除不可抗力外，如果服务商导致污水处理不达标而受环保部门通报、处罚，服务商除承担所有环保处罚、罚款及给采购人造成经济损失补偿，每年累计超过两次（含两次），采购人有权解除合同。如果服务商直接排放污水受环保部门通报、处罚，并造成外部水体严重污染引起一系列重大环境事件，服务商需承担所有环保处罚、罚款及给采购人造成经济损失补偿，且采购人有权解除合同。</w:t>
      </w:r>
    </w:p>
    <w:p>
      <w:pPr>
        <w:pStyle w:val="268"/>
        <w:spacing w:line="320" w:lineRule="exact"/>
        <w:ind w:firstLine="480" w:firstLineChars="200"/>
        <w:rPr>
          <w:rFonts w:ascii="仿宋_GB2312" w:hAnsi="仿宋_GB2312" w:cs="仿宋_GB2312"/>
          <w:kern w:val="2"/>
          <w:sz w:val="21"/>
        </w:rPr>
      </w:pPr>
      <w:r>
        <w:rPr>
          <w:rFonts w:hint="eastAsia" w:ascii="仿宋_GB2312" w:hAnsi="仿宋_GB2312" w:cs="仿宋_GB2312"/>
        </w:rPr>
        <w:t>★</w:t>
      </w:r>
      <w:r>
        <w:rPr>
          <w:rFonts w:hint="eastAsia" w:ascii="仿宋_GB2312" w:hAnsi="仿宋_GB2312" w:cs="仿宋_GB2312"/>
          <w:kern w:val="2"/>
          <w:sz w:val="21"/>
        </w:rPr>
        <w:t>15.因服务商的行为给采购人造成损害的，对于采购人因此而产生的全部损失（包括但不限于直接损失、间接损失以及因维权而支出的全部费用），如果服务商支付的违约金尚未足以赔付的，服务商还应当向采购人支付差额部分的款项作为对采购人的赔偿金。</w:t>
      </w:r>
    </w:p>
    <w:p>
      <w:pPr>
        <w:pStyle w:val="268"/>
        <w:spacing w:line="320" w:lineRule="exact"/>
        <w:ind w:firstLine="420" w:firstLineChars="200"/>
        <w:rPr>
          <w:rFonts w:ascii="仿宋_GB2312" w:hAnsi="仿宋_GB2312" w:cs="仿宋_GB2312"/>
          <w:kern w:val="2"/>
          <w:sz w:val="21"/>
        </w:rPr>
      </w:pPr>
      <w:r>
        <w:rPr>
          <w:rFonts w:hint="eastAsia" w:ascii="仿宋_GB2312" w:hAnsi="仿宋_GB2312" w:cs="仿宋_GB2312"/>
          <w:kern w:val="2"/>
          <w:sz w:val="21"/>
        </w:rPr>
        <w:t>16、对于服务商应当支付的违约金、赔偿金等，采购人有权从未支付的款项中预先扣除。</w:t>
      </w:r>
    </w:p>
    <w:p>
      <w:pPr>
        <w:pStyle w:val="268"/>
        <w:spacing w:line="320" w:lineRule="exact"/>
        <w:ind w:firstLine="420" w:firstLineChars="200"/>
        <w:rPr>
          <w:rFonts w:ascii="仿宋_GB2312" w:hAnsi="仿宋_GB2312" w:cs="仿宋_GB2312"/>
          <w:kern w:val="2"/>
          <w:sz w:val="21"/>
        </w:rPr>
      </w:pPr>
      <w:r>
        <w:rPr>
          <w:rFonts w:hint="eastAsia" w:ascii="仿宋_GB2312" w:hAnsi="仿宋_GB2312" w:cs="仿宋_GB2312"/>
          <w:kern w:val="2"/>
          <w:sz w:val="21"/>
        </w:rPr>
        <w:t>17、无论服务商是否支付赔偿金或违约金，均不因此导致服务商有权终止或解除合同，采购人仍有权继续要求服务商全面、按期履行合同义务。</w:t>
      </w:r>
    </w:p>
    <w:p>
      <w:pPr>
        <w:ind w:firstLine="480"/>
        <w:rPr>
          <w:rFonts w:ascii="仿宋_GB2312" w:hAnsi="仿宋_GB2312" w:cs="仿宋_GB2312"/>
        </w:rPr>
      </w:pPr>
      <w:r>
        <w:rPr>
          <w:rFonts w:hint="eastAsia" w:ascii="仿宋_GB2312" w:hAnsi="仿宋_GB2312" w:cs="仿宋_GB2312"/>
        </w:rPr>
        <w:t>★18.如遇以下情况，采购人有权单方面终止合同，同时不向服务商支付运营费用，已经支付的运营费用，并赔偿甲方及第三方损失：</w:t>
      </w:r>
    </w:p>
    <w:p>
      <w:pPr>
        <w:ind w:firstLine="480"/>
        <w:rPr>
          <w:rFonts w:ascii="仿宋_GB2312" w:hAnsi="仿宋_GB2312" w:cs="仿宋_GB2312"/>
        </w:rPr>
      </w:pPr>
      <w:r>
        <w:rPr>
          <w:rFonts w:hint="eastAsia" w:ascii="仿宋_GB2312" w:hAnsi="仿宋_GB2312" w:cs="仿宋_GB2312"/>
        </w:rPr>
        <w:t>(1)服务商三次以上未按照合同的约定履行其义务；</w:t>
      </w:r>
    </w:p>
    <w:p>
      <w:pPr>
        <w:ind w:firstLine="480"/>
        <w:rPr>
          <w:rFonts w:ascii="仿宋_GB2312" w:hAnsi="仿宋_GB2312" w:cs="仿宋_GB2312"/>
        </w:rPr>
      </w:pPr>
      <w:r>
        <w:rPr>
          <w:rFonts w:hint="eastAsia" w:ascii="仿宋_GB2312" w:hAnsi="仿宋_GB2312" w:cs="仿宋_GB2312"/>
        </w:rPr>
        <w:t>(2)经采购人通知后，服务商不进行运营管理或整改的；</w:t>
      </w:r>
    </w:p>
    <w:p>
      <w:pPr>
        <w:ind w:firstLine="480"/>
        <w:rPr>
          <w:rFonts w:ascii="仿宋_GB2312" w:hAnsi="仿宋_GB2312" w:cs="仿宋_GB2312"/>
        </w:rPr>
      </w:pPr>
      <w:r>
        <w:rPr>
          <w:rFonts w:hint="eastAsia" w:ascii="仿宋_GB2312" w:hAnsi="仿宋_GB2312" w:cs="仿宋_GB2312"/>
        </w:rPr>
        <w:t>(3)采购人认为在合同期内服务商明显不能继续胜任其工作；</w:t>
      </w:r>
    </w:p>
    <w:p>
      <w:pPr>
        <w:ind w:firstLine="480"/>
        <w:rPr>
          <w:rFonts w:ascii="仿宋_GB2312" w:hAnsi="仿宋_GB2312" w:cs="仿宋_GB2312"/>
        </w:rPr>
      </w:pPr>
      <w:r>
        <w:rPr>
          <w:rFonts w:hint="eastAsia" w:ascii="仿宋_GB2312" w:hAnsi="仿宋_GB2312" w:cs="仿宋_GB2312"/>
        </w:rPr>
        <w:t>(4)因服务商或服务商员工的原因给采购人或第三方造成重大损失的；</w:t>
      </w:r>
    </w:p>
    <w:p>
      <w:pPr>
        <w:ind w:firstLine="480"/>
        <w:rPr>
          <w:rFonts w:ascii="仿宋_GB2312" w:hAnsi="仿宋_GB2312" w:cs="仿宋_GB2312"/>
        </w:rPr>
      </w:pPr>
      <w:r>
        <w:rPr>
          <w:rFonts w:hint="eastAsia" w:ascii="仿宋_GB2312" w:hAnsi="仿宋_GB2312" w:cs="仿宋_GB2312"/>
        </w:rPr>
        <w:t>(5)未经采购人同意，服务商擅自更换常驻维保人员。</w:t>
      </w:r>
    </w:p>
    <w:p>
      <w:pPr>
        <w:ind w:firstLine="480"/>
        <w:rPr>
          <w:rFonts w:ascii="仿宋_GB2312" w:hAnsi="仿宋_GB2312" w:cs="仿宋_GB2312"/>
        </w:rPr>
      </w:pPr>
      <w:r>
        <w:rPr>
          <w:rFonts w:hint="eastAsia" w:ascii="仿宋_GB2312" w:hAnsi="仿宋_GB2312" w:cs="仿宋_GB2312"/>
        </w:rPr>
        <w:t>19.采购人无正当理由未按照约定向服务商支付费用的，每延误一日应当向乙方服务商支付延误部分费用0.05%的违约金。</w:t>
      </w:r>
    </w:p>
    <w:p>
      <w:pPr>
        <w:rPr>
          <w:rFonts w:ascii="仿宋_GB2312" w:hAnsi="仿宋_GB2312" w:cs="仿宋_GB2312"/>
        </w:rPr>
      </w:pPr>
      <w:r>
        <w:rPr>
          <w:rFonts w:hint="eastAsia" w:ascii="仿宋_GB2312" w:hAnsi="仿宋_GB2312" w:cs="仿宋_GB2312"/>
        </w:rPr>
        <w:t>九、项目其他要求</w:t>
      </w:r>
    </w:p>
    <w:p>
      <w:pPr>
        <w:ind w:firstLine="482"/>
        <w:rPr>
          <w:rFonts w:ascii="仿宋_GB2312" w:hAnsi="仿宋_GB2312" w:cs="仿宋_GB2312"/>
          <w:b/>
        </w:rPr>
      </w:pPr>
      <w:r>
        <w:rPr>
          <w:rFonts w:hint="eastAsia" w:ascii="仿宋_GB2312" w:hAnsi="仿宋_GB2312" w:cs="仿宋_GB2312"/>
          <w:b/>
        </w:rPr>
        <w:t>运营期满后移交程序：</w:t>
      </w:r>
    </w:p>
    <w:p>
      <w:pPr>
        <w:tabs>
          <w:tab w:val="left" w:pos="0"/>
        </w:tabs>
        <w:ind w:firstLine="480"/>
        <w:rPr>
          <w:rFonts w:ascii="仿宋_GB2312" w:hAnsi="仿宋_GB2312" w:cs="仿宋_GB2312"/>
        </w:rPr>
      </w:pPr>
      <w:r>
        <w:rPr>
          <w:rFonts w:hint="eastAsia" w:ascii="仿宋_GB2312" w:hAnsi="仿宋_GB2312" w:cs="仿宋_GB2312"/>
        </w:rPr>
        <w:t>1.托运行期结束前壹个月，由采购人和服务商各自派员组成移交小组，具体负责和办理移交工作，组织必要的会议，并商定设施设备移交的详尽程序。</w:t>
      </w:r>
    </w:p>
    <w:p>
      <w:pPr>
        <w:tabs>
          <w:tab w:val="left" w:pos="0"/>
        </w:tabs>
        <w:ind w:firstLine="480"/>
        <w:rPr>
          <w:rFonts w:ascii="仿宋_GB2312" w:hAnsi="仿宋_GB2312" w:cs="仿宋_GB2312"/>
        </w:rPr>
      </w:pPr>
      <w:r>
        <w:rPr>
          <w:rFonts w:hint="eastAsia" w:ascii="仿宋_GB2312" w:hAnsi="仿宋_GB2312" w:cs="仿宋_GB2312"/>
        </w:rPr>
        <w:t>2.对服务商人员的接收</w:t>
      </w:r>
    </w:p>
    <w:p>
      <w:pPr>
        <w:tabs>
          <w:tab w:val="left" w:pos="0"/>
        </w:tabs>
        <w:ind w:firstLine="480"/>
        <w:rPr>
          <w:rFonts w:ascii="仿宋_GB2312" w:hAnsi="仿宋_GB2312" w:cs="仿宋_GB2312"/>
        </w:rPr>
      </w:pPr>
      <w:r>
        <w:rPr>
          <w:rFonts w:hint="eastAsia" w:ascii="仿宋_GB2312" w:hAnsi="仿宋_GB2312" w:cs="仿宋_GB2312"/>
        </w:rPr>
        <w:t>采购人可自行选择在委托运行权收回后其愿意继续聘用的人员。</w:t>
      </w:r>
    </w:p>
    <w:p>
      <w:pPr>
        <w:tabs>
          <w:tab w:val="left" w:pos="0"/>
        </w:tabs>
        <w:ind w:firstLine="480"/>
        <w:rPr>
          <w:rFonts w:ascii="仿宋_GB2312" w:hAnsi="仿宋_GB2312" w:cs="仿宋_GB2312"/>
        </w:rPr>
      </w:pPr>
      <w:r>
        <w:rPr>
          <w:rFonts w:hint="eastAsia" w:ascii="仿宋_GB2312" w:hAnsi="仿宋_GB2312" w:cs="仿宋_GB2312"/>
        </w:rPr>
        <w:t>3.服务商所订立合同的取消</w:t>
      </w:r>
    </w:p>
    <w:p>
      <w:pPr>
        <w:tabs>
          <w:tab w:val="left" w:pos="0"/>
        </w:tabs>
        <w:ind w:firstLine="480"/>
        <w:rPr>
          <w:rFonts w:ascii="仿宋_GB2312" w:hAnsi="仿宋_GB2312" w:cs="仿宋_GB2312"/>
        </w:rPr>
      </w:pPr>
      <w:r>
        <w:rPr>
          <w:rFonts w:hint="eastAsia" w:ascii="仿宋_GB2312" w:hAnsi="仿宋_GB2312" w:cs="仿宋_GB2312"/>
        </w:rPr>
        <w:t>委托运行期届满终止时，根据采购人要求，服务商应取消其已签订的、于委托运行期届满后仍将有效的与生产废水治理项目的运行和维护有关的任何合同、协议。采购人对于因取消该等合同、协议所发生的任何费用不负责任，同时服务商应确保生产废水治理项目和采购人将不因此受到任何不利、损害和利益损失。</w:t>
      </w:r>
    </w:p>
    <w:p>
      <w:pPr>
        <w:tabs>
          <w:tab w:val="left" w:pos="0"/>
        </w:tabs>
        <w:ind w:firstLine="480"/>
        <w:rPr>
          <w:rFonts w:ascii="仿宋_GB2312" w:hAnsi="仿宋_GB2312" w:cs="仿宋_GB2312"/>
        </w:rPr>
      </w:pPr>
      <w:bookmarkStart w:id="46" w:name="_Toc498953294"/>
      <w:r>
        <w:rPr>
          <w:rFonts w:hint="eastAsia" w:ascii="仿宋_GB2312" w:hAnsi="仿宋_GB2312" w:cs="仿宋_GB2312"/>
        </w:rPr>
        <w:t>★</w:t>
      </w:r>
      <w:bookmarkEnd w:id="46"/>
      <w:r>
        <w:rPr>
          <w:rFonts w:hint="eastAsia" w:ascii="仿宋_GB2312" w:hAnsi="仿宋_GB2312" w:cs="仿宋_GB2312"/>
        </w:rPr>
        <w:t>4.服务商不得私自移走项目有关的任何设施设备（投标人自行投入的设备产权归采购方所有）。</w:t>
      </w:r>
    </w:p>
    <w:p>
      <w:pPr>
        <w:tabs>
          <w:tab w:val="left" w:pos="0"/>
        </w:tabs>
        <w:ind w:firstLine="480"/>
        <w:rPr>
          <w:rFonts w:ascii="仿宋_GB2312" w:hAnsi="仿宋_GB2312" w:cs="仿宋_GB2312"/>
        </w:rPr>
      </w:pPr>
      <w:r>
        <w:rPr>
          <w:rFonts w:hint="eastAsia" w:ascii="仿宋_GB2312" w:hAnsi="仿宋_GB2312" w:cs="仿宋_GB2312"/>
        </w:rPr>
        <w:t>5.项目设施设备的收回</w:t>
      </w:r>
    </w:p>
    <w:p>
      <w:pPr>
        <w:tabs>
          <w:tab w:val="left" w:pos="0"/>
        </w:tabs>
        <w:ind w:firstLine="480"/>
        <w:rPr>
          <w:rFonts w:ascii="仿宋_GB2312" w:hAnsi="仿宋_GB2312" w:cs="仿宋_GB2312"/>
        </w:rPr>
      </w:pPr>
      <w:r>
        <w:rPr>
          <w:rFonts w:hint="eastAsia" w:ascii="仿宋_GB2312" w:hAnsi="仿宋_GB2312" w:cs="仿宋_GB2312"/>
        </w:rPr>
        <w:t>5.1 由服务商在项目设施设备收回日前负责对项目设施设备整修以达到届时相关规范的要求，包括但不限于：</w:t>
      </w:r>
    </w:p>
    <w:p>
      <w:pPr>
        <w:tabs>
          <w:tab w:val="left" w:pos="0"/>
        </w:tabs>
        <w:ind w:firstLine="480"/>
        <w:rPr>
          <w:rFonts w:ascii="仿宋_GB2312" w:hAnsi="仿宋_GB2312" w:cs="仿宋_GB2312"/>
        </w:rPr>
      </w:pPr>
      <w:r>
        <w:rPr>
          <w:rFonts w:hint="eastAsia" w:ascii="仿宋_GB2312" w:hAnsi="仿宋_GB2312" w:cs="仿宋_GB2312"/>
        </w:rPr>
        <w:t>（1）建构筑物满足安全、环保等生产要求；</w:t>
      </w:r>
    </w:p>
    <w:p>
      <w:pPr>
        <w:tabs>
          <w:tab w:val="left" w:pos="0"/>
        </w:tabs>
        <w:ind w:firstLine="480"/>
        <w:rPr>
          <w:rFonts w:ascii="仿宋_GB2312" w:hAnsi="仿宋_GB2312" w:cs="仿宋_GB2312"/>
        </w:rPr>
      </w:pPr>
      <w:r>
        <w:rPr>
          <w:rFonts w:hint="eastAsia" w:ascii="仿宋_GB2312" w:hAnsi="仿宋_GB2312" w:cs="仿宋_GB2312"/>
        </w:rPr>
        <w:t>（2）设备工况良好，满足性能、工艺参数要求及届时的国家污水处理标准；</w:t>
      </w:r>
    </w:p>
    <w:p>
      <w:pPr>
        <w:tabs>
          <w:tab w:val="left" w:pos="0"/>
        </w:tabs>
        <w:ind w:firstLine="480"/>
        <w:rPr>
          <w:rFonts w:ascii="仿宋_GB2312" w:hAnsi="仿宋_GB2312" w:cs="仿宋_GB2312"/>
        </w:rPr>
      </w:pPr>
      <w:r>
        <w:rPr>
          <w:rFonts w:hint="eastAsia" w:ascii="仿宋_GB2312" w:hAnsi="仿宋_GB2312" w:cs="仿宋_GB2312"/>
        </w:rPr>
        <w:t>（3）建筑物要求外观整洁，设施设备完好，结构无损坏。</w:t>
      </w:r>
    </w:p>
    <w:p>
      <w:pPr>
        <w:tabs>
          <w:tab w:val="left" w:pos="0"/>
        </w:tabs>
        <w:ind w:firstLine="480"/>
        <w:rPr>
          <w:rFonts w:ascii="仿宋_GB2312" w:hAnsi="仿宋_GB2312" w:cs="仿宋_GB2312"/>
        </w:rPr>
      </w:pPr>
      <w:r>
        <w:rPr>
          <w:rFonts w:hint="eastAsia" w:ascii="仿宋_GB2312" w:hAnsi="仿宋_GB2312" w:cs="仿宋_GB2312"/>
        </w:rPr>
        <w:t>5.2 项目设施设备若不能达到第5.1 款标准则服务商应进行恢复性大修。</w:t>
      </w:r>
    </w:p>
    <w:p>
      <w:pPr>
        <w:tabs>
          <w:tab w:val="left" w:pos="0"/>
        </w:tabs>
        <w:ind w:firstLine="480"/>
        <w:rPr>
          <w:rFonts w:ascii="仿宋_GB2312" w:hAnsi="仿宋_GB2312" w:cs="仿宋_GB2312"/>
        </w:rPr>
      </w:pPr>
      <w:r>
        <w:rPr>
          <w:rFonts w:hint="eastAsia" w:ascii="仿宋_GB2312" w:hAnsi="仿宋_GB2312" w:cs="仿宋_GB2312"/>
        </w:rPr>
        <w:t>5.3 服务商接管项目运营后另行新增或更换的设备（不在投标合同范围内），双方在终止运营合同后，该设备产权归服务商所有，服务商可自行回收。</w:t>
      </w:r>
    </w:p>
    <w:p>
      <w:pPr>
        <w:tabs>
          <w:tab w:val="left" w:pos="0"/>
        </w:tabs>
        <w:ind w:firstLine="480"/>
        <w:rPr>
          <w:rFonts w:ascii="仿宋_GB2312" w:hAnsi="仿宋_GB2312" w:cs="仿宋_GB2312"/>
        </w:rPr>
      </w:pPr>
      <w:r>
        <w:rPr>
          <w:rFonts w:hint="eastAsia" w:ascii="仿宋_GB2312" w:hAnsi="仿宋_GB2312" w:cs="仿宋_GB2312"/>
        </w:rPr>
        <w:t>6.技术文件和运行记录</w:t>
      </w:r>
    </w:p>
    <w:p>
      <w:pPr>
        <w:tabs>
          <w:tab w:val="left" w:pos="0"/>
        </w:tabs>
        <w:ind w:firstLine="480"/>
        <w:rPr>
          <w:rFonts w:ascii="仿宋_GB2312" w:hAnsi="仿宋_GB2312" w:cs="仿宋_GB2312"/>
        </w:rPr>
      </w:pPr>
      <w:r>
        <w:rPr>
          <w:rFonts w:hint="eastAsia" w:ascii="仿宋_GB2312" w:hAnsi="仿宋_GB2312" w:cs="仿宋_GB2312"/>
        </w:rPr>
        <w:t>服务商应向采购人或其指定机构移交生产废水治理项目及其正常运行必需的所有技术文件，包括但不限于其在委托运行开始和整个委托运行期间从采购人获得的所有技术文件、资质证书（如有）、会计资料、运行记录和其它管理文件等。</w:t>
      </w:r>
    </w:p>
    <w:p>
      <w:pPr>
        <w:tabs>
          <w:tab w:val="left" w:pos="0"/>
        </w:tabs>
        <w:ind w:firstLine="480"/>
        <w:rPr>
          <w:rFonts w:ascii="仿宋_GB2312" w:hAnsi="仿宋_GB2312" w:cs="仿宋_GB2312"/>
        </w:rPr>
      </w:pPr>
      <w:r>
        <w:rPr>
          <w:rFonts w:hint="eastAsia" w:ascii="仿宋_GB2312" w:hAnsi="仿宋_GB2312" w:cs="仿宋_GB2312"/>
        </w:rPr>
        <w:t>7.知识产权</w:t>
      </w:r>
    </w:p>
    <w:p>
      <w:pPr>
        <w:tabs>
          <w:tab w:val="left" w:pos="0"/>
        </w:tabs>
        <w:ind w:firstLine="480"/>
        <w:rPr>
          <w:rFonts w:ascii="仿宋_GB2312" w:hAnsi="仿宋_GB2312" w:cs="仿宋_GB2312"/>
        </w:rPr>
      </w:pPr>
      <w:r>
        <w:rPr>
          <w:rFonts w:hint="eastAsia" w:ascii="仿宋_GB2312" w:hAnsi="仿宋_GB2312" w:cs="仿宋_GB2312"/>
        </w:rPr>
        <w:t>服务商应向采购人或其指定机构移交服务商在委托运行期间可能形成的一切专利、专有技术等无形资产的文件，采购人将有权无偿继续在本项目中使用该知识产权。</w:t>
      </w:r>
    </w:p>
    <w:p>
      <w:pPr>
        <w:tabs>
          <w:tab w:val="left" w:pos="0"/>
        </w:tabs>
        <w:ind w:firstLine="480"/>
        <w:rPr>
          <w:rFonts w:ascii="仿宋_GB2312" w:hAnsi="仿宋_GB2312" w:cs="仿宋_GB2312"/>
        </w:rPr>
      </w:pPr>
      <w:r>
        <w:rPr>
          <w:rFonts w:hint="eastAsia" w:ascii="仿宋_GB2312" w:hAnsi="仿宋_GB2312" w:cs="仿宋_GB2312"/>
        </w:rPr>
        <w:t>8.无财务、法律瑕疵</w:t>
      </w:r>
    </w:p>
    <w:p>
      <w:pPr>
        <w:tabs>
          <w:tab w:val="left" w:pos="0"/>
        </w:tabs>
        <w:ind w:firstLine="480"/>
        <w:rPr>
          <w:rFonts w:ascii="仿宋_GB2312" w:hAnsi="仿宋_GB2312" w:cs="仿宋_GB2312"/>
        </w:rPr>
      </w:pPr>
      <w:r>
        <w:rPr>
          <w:rFonts w:hint="eastAsia" w:ascii="仿宋_GB2312" w:hAnsi="仿宋_GB2312" w:cs="仿宋_GB2312"/>
        </w:rPr>
        <w:t>服务商应保证项目设施设备在项目设施设备收回日无负债、无对外担保、无法律诉讼等情况，除非服务商与采购人就项目设施设备在收回日的债权债务处理已另外达成协议。</w:t>
      </w:r>
    </w:p>
    <w:p>
      <w:pPr>
        <w:tabs>
          <w:tab w:val="left" w:pos="0"/>
        </w:tabs>
        <w:ind w:firstLine="480"/>
        <w:rPr>
          <w:rFonts w:ascii="仿宋_GB2312" w:hAnsi="仿宋_GB2312" w:cs="仿宋_GB2312"/>
        </w:rPr>
      </w:pPr>
      <w:r>
        <w:rPr>
          <w:rFonts w:hint="eastAsia" w:ascii="仿宋_GB2312" w:hAnsi="仿宋_GB2312" w:cs="仿宋_GB2312"/>
        </w:rPr>
        <w:t>9.收回前的检测及其结果</w:t>
      </w:r>
    </w:p>
    <w:p>
      <w:pPr>
        <w:tabs>
          <w:tab w:val="left" w:pos="0"/>
        </w:tabs>
        <w:ind w:firstLine="480"/>
        <w:rPr>
          <w:rFonts w:ascii="仿宋_GB2312" w:hAnsi="仿宋_GB2312" w:cs="仿宋_GB2312"/>
        </w:rPr>
      </w:pPr>
      <w:r>
        <w:rPr>
          <w:rFonts w:hint="eastAsia" w:ascii="仿宋_GB2312" w:hAnsi="仿宋_GB2312" w:cs="仿宋_GB2312"/>
        </w:rPr>
        <w:t>9.1 服务商应于项目设施设备收回日三(3)个月之前（若为提前终止则应自发出终止意向通知之日起十五（15）日内），向采购人提交其自行检验的项目设施设备检测报告，检测项目、种类和结果应保证项目设施设备可以满足届时有效的有关法律、法规和国家标准规定的处理性能和排放指标及其设计处理能力。采购人在合同终止前十日内向环保和疾控部门送检经污水处理站排入市政管网的排放口所取污水标本应达到环保和疾控要求。</w:t>
      </w:r>
    </w:p>
    <w:p>
      <w:pPr>
        <w:rPr>
          <w:rFonts w:ascii="仿宋_GB2312" w:hAnsi="仿宋_GB2312" w:cs="仿宋_GB2312"/>
        </w:rPr>
      </w:pPr>
      <w:r>
        <w:rPr>
          <w:rFonts w:hint="eastAsia" w:ascii="仿宋_GB2312" w:hAnsi="仿宋_GB2312" w:cs="仿宋_GB2312"/>
        </w:rPr>
        <w:t>9.2 采购人或其指定的机构和人员应于收到服务商提交的其自行检验项目设施设备的检测报告后进入生产废水治理项目对项目设施设备进行性能测试，并提出对项目设施设备瑕疵的整改意见。服务商在收到采购人的整改意见后，应在规定期限内完成整改措施。</w:t>
      </w:r>
    </w:p>
    <w:p>
      <w:pPr>
        <w:pStyle w:val="3"/>
        <w:spacing w:before="0" w:after="0" w:line="560" w:lineRule="exact"/>
        <w:rPr>
          <w:rFonts w:ascii="仿宋_GB2312" w:hAnsi="仿宋_GB2312" w:eastAsia="宋体" w:cs="仿宋_GB2312"/>
          <w:b w:val="0"/>
          <w:bCs w:val="0"/>
          <w:sz w:val="21"/>
          <w:szCs w:val="24"/>
        </w:rPr>
      </w:pPr>
    </w:p>
    <w:p/>
    <w:p>
      <w:pPr>
        <w:pStyle w:val="3"/>
        <w:spacing w:before="0" w:after="0" w:line="560" w:lineRule="exact"/>
        <w:jc w:val="center"/>
        <w:rPr>
          <w:rFonts w:ascii="黑体" w:hAnsi="黑体"/>
          <w:b w:val="0"/>
          <w:color w:val="000000" w:themeColor="text1"/>
        </w:rPr>
      </w:pPr>
      <w:r>
        <w:rPr>
          <w:rFonts w:hint="eastAsia" w:ascii="黑体" w:hAnsi="黑体"/>
          <w:b w:val="0"/>
          <w:color w:val="000000" w:themeColor="text1"/>
        </w:rPr>
        <w:t>第四篇  磋商项目服务需求</w:t>
      </w:r>
      <w:bookmarkEnd w:id="42"/>
      <w:bookmarkEnd w:id="45"/>
    </w:p>
    <w:p>
      <w:pPr>
        <w:pStyle w:val="4"/>
        <w:spacing w:before="0" w:after="0" w:line="560" w:lineRule="exact"/>
        <w:rPr>
          <w:rFonts w:ascii="宋体" w:hAnsi="宋体"/>
          <w:bCs w:val="0"/>
          <w:sz w:val="24"/>
          <w:szCs w:val="24"/>
        </w:rPr>
      </w:pPr>
      <w:bookmarkStart w:id="47" w:name="_Toc29543181"/>
      <w:bookmarkStart w:id="48" w:name="_Toc344475120"/>
      <w:bookmarkStart w:id="49" w:name="_Toc11641055"/>
      <w:bookmarkStart w:id="50" w:name="_Toc12789059"/>
      <w:bookmarkStart w:id="51" w:name="_Toc29543189"/>
      <w:r>
        <w:rPr>
          <w:rFonts w:hint="eastAsia" w:ascii="宋体" w:hAnsi="宋体"/>
          <w:bCs w:val="0"/>
          <w:sz w:val="24"/>
          <w:szCs w:val="24"/>
        </w:rPr>
        <w:t>一、交货时间、地点及验收方式</w:t>
      </w:r>
      <w:bookmarkEnd w:id="47"/>
      <w:bookmarkEnd w:id="48"/>
    </w:p>
    <w:p>
      <w:pPr>
        <w:pStyle w:val="33"/>
        <w:spacing w:line="560" w:lineRule="exact"/>
        <w:ind w:firstLine="315" w:firstLineChars="150"/>
        <w:rPr>
          <w:rFonts w:ascii="仿宋_GB2312" w:hAnsi="仿宋_GB2312" w:eastAsia="宋体" w:cs="仿宋_GB2312"/>
          <w:spacing w:val="0"/>
          <w:sz w:val="21"/>
        </w:rPr>
      </w:pPr>
      <w:r>
        <w:rPr>
          <w:rFonts w:hint="eastAsia" w:ascii="仿宋_GB2312" w:hAnsi="仿宋_GB2312" w:eastAsia="宋体" w:cs="仿宋_GB2312"/>
          <w:spacing w:val="0"/>
          <w:sz w:val="21"/>
        </w:rPr>
        <w:t>（一）交货时间</w:t>
      </w:r>
    </w:p>
    <w:p>
      <w:pPr>
        <w:pStyle w:val="33"/>
        <w:tabs>
          <w:tab w:val="left" w:pos="4905"/>
        </w:tabs>
        <w:spacing w:line="560" w:lineRule="exact"/>
        <w:ind w:firstLine="420"/>
        <w:rPr>
          <w:rFonts w:ascii="仿宋_GB2312" w:hAnsi="仿宋_GB2312" w:eastAsia="宋体" w:cs="仿宋_GB2312"/>
          <w:spacing w:val="0"/>
          <w:sz w:val="21"/>
        </w:rPr>
      </w:pPr>
      <w:r>
        <w:rPr>
          <w:rFonts w:hint="eastAsia" w:ascii="仿宋_GB2312" w:hAnsi="仿宋_GB2312" w:eastAsia="宋体" w:cs="仿宋_GB2312"/>
          <w:spacing w:val="0"/>
          <w:sz w:val="21"/>
        </w:rPr>
        <w:t>以合同约定为准。</w:t>
      </w:r>
    </w:p>
    <w:p>
      <w:pPr>
        <w:pStyle w:val="33"/>
        <w:spacing w:line="560" w:lineRule="exact"/>
        <w:ind w:firstLine="210" w:firstLineChars="100"/>
        <w:rPr>
          <w:rFonts w:ascii="仿宋_GB2312" w:hAnsi="仿宋_GB2312" w:eastAsia="宋体" w:cs="仿宋_GB2312"/>
          <w:spacing w:val="0"/>
          <w:sz w:val="21"/>
        </w:rPr>
      </w:pPr>
      <w:r>
        <w:rPr>
          <w:rFonts w:hint="eastAsia" w:ascii="仿宋_GB2312" w:hAnsi="仿宋_GB2312" w:eastAsia="宋体" w:cs="仿宋_GB2312"/>
          <w:spacing w:val="0"/>
          <w:sz w:val="21"/>
        </w:rPr>
        <w:t>（二）交货地点</w:t>
      </w:r>
    </w:p>
    <w:p>
      <w:pPr>
        <w:spacing w:line="560" w:lineRule="exact"/>
        <w:ind w:firstLine="420" w:firstLineChars="200"/>
        <w:rPr>
          <w:rFonts w:ascii="仿宋_GB2312" w:hAnsi="仿宋_GB2312" w:cs="仿宋_GB2312"/>
        </w:rPr>
      </w:pPr>
      <w:r>
        <w:rPr>
          <w:rFonts w:hint="eastAsia" w:ascii="仿宋_GB2312" w:hAnsi="仿宋_GB2312" w:cs="仿宋_GB2312"/>
        </w:rPr>
        <w:t>交货地点：重庆市江北区中医院，采购人指定地点。</w:t>
      </w:r>
    </w:p>
    <w:p>
      <w:pPr>
        <w:rPr>
          <w:rFonts w:ascii="仿宋_GB2312" w:hAnsi="仿宋_GB2312" w:cs="仿宋_GB2312"/>
        </w:rPr>
      </w:pPr>
      <w:r>
        <w:rPr>
          <w:rFonts w:hint="eastAsia" w:ascii="仿宋_GB2312" w:hAnsi="仿宋_GB2312" w:cs="仿宋_GB2312"/>
        </w:rPr>
        <w:t xml:space="preserve">  （三）付款方式</w:t>
      </w:r>
    </w:p>
    <w:p>
      <w:pPr>
        <w:snapToGrid w:val="0"/>
        <w:spacing w:line="400" w:lineRule="exact"/>
        <w:ind w:firstLine="420" w:firstLineChars="200"/>
        <w:rPr>
          <w:rFonts w:ascii="仿宋_GB2312" w:hAnsi="仿宋_GB2312" w:cs="仿宋_GB2312"/>
        </w:rPr>
      </w:pPr>
      <w:bookmarkStart w:id="52" w:name="_Toc344475121"/>
      <w:bookmarkStart w:id="53" w:name="_Toc29543182"/>
      <w:r>
        <w:rPr>
          <w:rFonts w:hint="eastAsia" w:ascii="仿宋_GB2312" w:hAnsi="仿宋_GB2312" w:cs="仿宋_GB2312"/>
        </w:rPr>
        <w:t>工作满一月后，采购人按照合同约定对成交人工作进行考核，并按考核结果计算。成交人按考核确定的污水处理设施运营管理服务金额出具有效发票，采购人收到相关票据及依据后30个工作日内支付办理上月结算，并按照程序办理上月服务费用支付手续。</w:t>
      </w:r>
    </w:p>
    <w:p>
      <w:pPr>
        <w:rPr>
          <w:rFonts w:ascii="仿宋_GB2312" w:hAnsi="仿宋_GB2312" w:cs="仿宋_GB2312"/>
        </w:rPr>
      </w:pPr>
      <w:r>
        <w:rPr>
          <w:rFonts w:hint="eastAsia" w:ascii="仿宋_GB2312" w:hAnsi="仿宋_GB2312" w:cs="仿宋_GB2312"/>
        </w:rPr>
        <w:t>二、</w:t>
      </w:r>
      <w:bookmarkEnd w:id="52"/>
      <w:bookmarkEnd w:id="53"/>
      <w:r>
        <w:rPr>
          <w:rFonts w:hint="eastAsia" w:ascii="仿宋_GB2312" w:hAnsi="仿宋_GB2312" w:cs="仿宋_GB2312"/>
        </w:rPr>
        <w:t>监管及考核要求</w:t>
      </w:r>
    </w:p>
    <w:p>
      <w:pPr>
        <w:widowControl/>
        <w:wordWrap w:val="0"/>
        <w:spacing w:line="360" w:lineRule="auto"/>
        <w:jc w:val="left"/>
        <w:rPr>
          <w:rFonts w:ascii="仿宋_GB2312" w:hAnsi="仿宋_GB2312" w:cs="仿宋_GB2312"/>
        </w:rPr>
      </w:pPr>
      <w:r>
        <w:rPr>
          <w:rFonts w:hint="eastAsia" w:ascii="仿宋_GB2312" w:hAnsi="仿宋_GB2312" w:cs="仿宋_GB2312"/>
        </w:rPr>
        <w:t>考核办法</w:t>
      </w:r>
    </w:p>
    <w:p>
      <w:pPr>
        <w:widowControl/>
        <w:numPr>
          <w:ilvl w:val="0"/>
          <w:numId w:val="4"/>
        </w:numPr>
        <w:spacing w:line="320" w:lineRule="exact"/>
        <w:ind w:firstLine="420" w:firstLineChars="200"/>
        <w:jc w:val="left"/>
        <w:rPr>
          <w:rFonts w:ascii="仿宋_GB2312" w:hAnsi="仿宋_GB2312" w:cs="仿宋_GB2312"/>
        </w:rPr>
      </w:pPr>
      <w:r>
        <w:rPr>
          <w:rFonts w:hint="eastAsia" w:ascii="仿宋_GB2312" w:hAnsi="仿宋_GB2312" w:cs="仿宋_GB2312"/>
        </w:rPr>
        <w:t>检查内容及标准</w:t>
      </w:r>
    </w:p>
    <w:p>
      <w:pPr>
        <w:ind w:firstLine="210" w:firstLineChars="100"/>
        <w:rPr>
          <w:rFonts w:ascii="仿宋_GB2312" w:hAnsi="仿宋_GB2312" w:cs="仿宋_GB2312"/>
        </w:rPr>
      </w:pPr>
      <w:r>
        <w:rPr>
          <w:rFonts w:hint="eastAsia" w:ascii="仿宋_GB2312" w:hAnsi="仿宋_GB2312" w:cs="仿宋_GB2312"/>
        </w:rPr>
        <w:t>（1）水质检测考核标准</w:t>
      </w:r>
    </w:p>
    <w:tbl>
      <w:tblPr>
        <w:tblStyle w:val="57"/>
        <w:tblW w:w="9960" w:type="dxa"/>
        <w:jc w:val="center"/>
        <w:tblLayout w:type="fixed"/>
        <w:tblCellMar>
          <w:top w:w="0" w:type="dxa"/>
          <w:left w:w="0" w:type="dxa"/>
          <w:bottom w:w="0" w:type="dxa"/>
          <w:right w:w="0" w:type="dxa"/>
        </w:tblCellMar>
      </w:tblPr>
      <w:tblGrid>
        <w:gridCol w:w="819"/>
        <w:gridCol w:w="995"/>
        <w:gridCol w:w="820"/>
        <w:gridCol w:w="821"/>
        <w:gridCol w:w="820"/>
        <w:gridCol w:w="821"/>
        <w:gridCol w:w="820"/>
        <w:gridCol w:w="1700"/>
        <w:gridCol w:w="1262"/>
        <w:gridCol w:w="1082"/>
      </w:tblGrid>
      <w:tr>
        <w:tblPrEx>
          <w:tblCellMar>
            <w:top w:w="0" w:type="dxa"/>
            <w:left w:w="0" w:type="dxa"/>
            <w:bottom w:w="0" w:type="dxa"/>
            <w:right w:w="0" w:type="dxa"/>
          </w:tblCellMar>
        </w:tblPrEx>
        <w:trPr>
          <w:trHeight w:val="23"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序号</w:t>
            </w:r>
          </w:p>
        </w:tc>
        <w:tc>
          <w:tcPr>
            <w:tcW w:w="9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检测内容</w:t>
            </w:r>
          </w:p>
        </w:tc>
        <w:tc>
          <w:tcPr>
            <w:tcW w:w="410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检测周期</w:t>
            </w:r>
          </w:p>
        </w:tc>
        <w:tc>
          <w:tcPr>
            <w:tcW w:w="17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备注</w:t>
            </w:r>
          </w:p>
        </w:tc>
        <w:tc>
          <w:tcPr>
            <w:tcW w:w="12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扣分原因</w:t>
            </w:r>
          </w:p>
        </w:tc>
        <w:tc>
          <w:tcPr>
            <w:tcW w:w="10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扣分数</w:t>
            </w:r>
            <w:r>
              <w:rPr>
                <w:rFonts w:hint="eastAsia" w:ascii="仿宋_GB2312" w:hAnsi="仿宋_GB2312" w:cs="仿宋_GB2312"/>
                <w:kern w:val="0"/>
                <w:szCs w:val="21"/>
                <w:lang w:bidi="ar"/>
              </w:rPr>
              <w:br w:type="textWrapping"/>
            </w:r>
            <w:r>
              <w:rPr>
                <w:rFonts w:hint="eastAsia" w:ascii="仿宋_GB2312" w:hAnsi="仿宋_GB2312" w:cs="仿宋_GB2312"/>
                <w:kern w:val="0"/>
                <w:szCs w:val="21"/>
                <w:lang w:bidi="ar"/>
              </w:rPr>
              <w:t>（分）</w:t>
            </w:r>
          </w:p>
        </w:tc>
      </w:tr>
      <w:tr>
        <w:tblPrEx>
          <w:tblCellMar>
            <w:top w:w="0" w:type="dxa"/>
            <w:left w:w="0" w:type="dxa"/>
            <w:bottom w:w="0" w:type="dxa"/>
            <w:right w:w="0" w:type="dxa"/>
          </w:tblCellMar>
        </w:tblPrEx>
        <w:trPr>
          <w:trHeight w:val="23"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每日</w:t>
            </w:r>
          </w:p>
        </w:tc>
        <w:tc>
          <w:tcPr>
            <w:tcW w:w="8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每周</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每月</w:t>
            </w:r>
          </w:p>
        </w:tc>
        <w:tc>
          <w:tcPr>
            <w:tcW w:w="8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每季度</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每半年</w:t>
            </w:r>
          </w:p>
        </w:tc>
        <w:tc>
          <w:tcPr>
            <w:tcW w:w="17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0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r>
      <w:tr>
        <w:tblPrEx>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PH</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8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每日不低于2次</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2</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余氯</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8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每日不低于2次</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3</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沙门氏菌</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投标方送第三方检测单位检测</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4</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志贺氏菌</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投标方送第三方检测单位检测</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bl>
    <w:p>
      <w:pPr>
        <w:ind w:firstLine="211" w:firstLineChars="100"/>
        <w:rPr>
          <w:rFonts w:ascii="黑体" w:hAnsi="黑体" w:eastAsia="黑体"/>
          <w:b/>
          <w:kern w:val="0"/>
        </w:rPr>
      </w:pPr>
      <w:r>
        <w:rPr>
          <w:rFonts w:hint="eastAsia" w:ascii="黑体" w:hAnsi="黑体" w:eastAsia="黑体"/>
          <w:b/>
          <w:kern w:val="0"/>
        </w:rPr>
        <w:t>（2）构筑物巡检及现场卫生考核标准</w:t>
      </w:r>
    </w:p>
    <w:tbl>
      <w:tblPr>
        <w:tblStyle w:val="57"/>
        <w:tblW w:w="9840" w:type="dxa"/>
        <w:jc w:val="center"/>
        <w:tblLayout w:type="fixed"/>
        <w:tblCellMar>
          <w:top w:w="0" w:type="dxa"/>
          <w:left w:w="0" w:type="dxa"/>
          <w:bottom w:w="0" w:type="dxa"/>
          <w:right w:w="0" w:type="dxa"/>
        </w:tblCellMar>
      </w:tblPr>
      <w:tblGrid>
        <w:gridCol w:w="758"/>
        <w:gridCol w:w="1143"/>
        <w:gridCol w:w="526"/>
        <w:gridCol w:w="758"/>
        <w:gridCol w:w="758"/>
        <w:gridCol w:w="757"/>
        <w:gridCol w:w="758"/>
        <w:gridCol w:w="2154"/>
        <w:gridCol w:w="1313"/>
        <w:gridCol w:w="915"/>
      </w:tblGrid>
      <w:tr>
        <w:tblPrEx>
          <w:tblCellMar>
            <w:top w:w="0" w:type="dxa"/>
            <w:left w:w="0" w:type="dxa"/>
            <w:bottom w:w="0" w:type="dxa"/>
            <w:right w:w="0" w:type="dxa"/>
          </w:tblCellMar>
        </w:tblPrEx>
        <w:trPr>
          <w:trHeight w:val="23"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序号</w:t>
            </w:r>
          </w:p>
        </w:tc>
        <w:tc>
          <w:tcPr>
            <w:tcW w:w="11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工作内容</w:t>
            </w:r>
          </w:p>
        </w:tc>
        <w:tc>
          <w:tcPr>
            <w:tcW w:w="355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周期</w:t>
            </w:r>
          </w:p>
        </w:tc>
        <w:tc>
          <w:tcPr>
            <w:tcW w:w="21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工作标准</w:t>
            </w:r>
          </w:p>
        </w:tc>
        <w:tc>
          <w:tcPr>
            <w:tcW w:w="13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扣分原因</w:t>
            </w:r>
          </w:p>
        </w:tc>
        <w:tc>
          <w:tcPr>
            <w:tcW w:w="9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扣分数</w:t>
            </w:r>
          </w:p>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（分）</w:t>
            </w:r>
          </w:p>
        </w:tc>
      </w:tr>
      <w:tr>
        <w:tblPrEx>
          <w:tblCellMar>
            <w:top w:w="0" w:type="dxa"/>
            <w:left w:w="0" w:type="dxa"/>
            <w:bottom w:w="0" w:type="dxa"/>
            <w:right w:w="0" w:type="dxa"/>
          </w:tblCellMar>
        </w:tblPrEx>
        <w:trPr>
          <w:trHeight w:val="23"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1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每日</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每周</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每月</w:t>
            </w:r>
          </w:p>
        </w:tc>
        <w:tc>
          <w:tcPr>
            <w:tcW w:w="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每季度</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每年</w:t>
            </w:r>
          </w:p>
        </w:tc>
        <w:tc>
          <w:tcPr>
            <w:tcW w:w="21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3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9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r>
      <w:tr>
        <w:tblPrEx>
          <w:tblCellMar>
            <w:top w:w="0" w:type="dxa"/>
            <w:left w:w="0" w:type="dxa"/>
            <w:bottom w:w="0" w:type="dxa"/>
            <w:right w:w="0" w:type="dxa"/>
          </w:tblCellMar>
        </w:tblPrEx>
        <w:trPr>
          <w:trHeight w:val="23"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c>
          <w:tcPr>
            <w:tcW w:w="11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设备间卫生</w:t>
            </w:r>
          </w:p>
        </w:tc>
        <w:tc>
          <w:tcPr>
            <w:tcW w:w="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设备清洁无油污</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1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地面清洁无油污</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2</w:t>
            </w:r>
          </w:p>
        </w:tc>
        <w:tc>
          <w:tcPr>
            <w:tcW w:w="11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值班室</w:t>
            </w:r>
          </w:p>
        </w:tc>
        <w:tc>
          <w:tcPr>
            <w:tcW w:w="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清洁整齐</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1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物品摆放整齐</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3</w:t>
            </w:r>
          </w:p>
        </w:tc>
        <w:tc>
          <w:tcPr>
            <w:tcW w:w="11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color w:val="FF0000"/>
                <w:kern w:val="0"/>
                <w:szCs w:val="21"/>
                <w:lang w:bidi="ar"/>
              </w:rPr>
            </w:pPr>
            <w:r>
              <w:rPr>
                <w:rFonts w:hint="eastAsia"/>
              </w:rPr>
              <w:t>预消毒池</w:t>
            </w:r>
            <w:r>
              <w:rPr>
                <w:rFonts w:hint="eastAsia" w:ascii="仿宋_GB2312" w:hAnsi="仿宋_GB2312" w:cs="仿宋_GB2312"/>
                <w:color w:val="FF0000"/>
                <w:kern w:val="0"/>
                <w:szCs w:val="21"/>
                <w:lang w:bidi="ar"/>
              </w:rPr>
              <w:t>巡检</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表面无大块浮渣，过水孔无堵塞</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4</w:t>
            </w:r>
          </w:p>
        </w:tc>
        <w:tc>
          <w:tcPr>
            <w:tcW w:w="11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好氧池巡检</w:t>
            </w:r>
          </w:p>
        </w:tc>
        <w:tc>
          <w:tcPr>
            <w:tcW w:w="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表面无大块浮渣，过水孔无堵塞</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1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曝气正常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5</w:t>
            </w:r>
          </w:p>
        </w:tc>
        <w:tc>
          <w:tcPr>
            <w:tcW w:w="11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沉淀池巡检</w:t>
            </w:r>
          </w:p>
        </w:tc>
        <w:tc>
          <w:tcPr>
            <w:tcW w:w="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表面无浮渣，过水孔无堵塞</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1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上清液清澈</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6</w:t>
            </w:r>
          </w:p>
        </w:tc>
        <w:tc>
          <w:tcPr>
            <w:tcW w:w="11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消毒池</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表面无浮渣，过水孔无堵塞</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7</w:t>
            </w:r>
          </w:p>
        </w:tc>
        <w:tc>
          <w:tcPr>
            <w:tcW w:w="11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排放口</w:t>
            </w:r>
          </w:p>
        </w:tc>
        <w:tc>
          <w:tcPr>
            <w:tcW w:w="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水质清澈</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1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池底、池壁无杂物</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8</w:t>
            </w:r>
          </w:p>
        </w:tc>
        <w:tc>
          <w:tcPr>
            <w:tcW w:w="11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除臭装置</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活性炭无潮湿、发霉</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bl>
    <w:p>
      <w:pPr>
        <w:ind w:firstLine="211" w:firstLineChars="100"/>
        <w:rPr>
          <w:rFonts w:ascii="黑体" w:hAnsi="黑体" w:eastAsia="黑体"/>
          <w:b/>
          <w:kern w:val="0"/>
        </w:rPr>
      </w:pPr>
      <w:r>
        <w:rPr>
          <w:rFonts w:hint="eastAsia" w:ascii="黑体" w:hAnsi="黑体" w:eastAsia="黑体"/>
          <w:b/>
          <w:kern w:val="0"/>
        </w:rPr>
        <w:t>（3）工艺设备巡检巡查考核标准</w:t>
      </w:r>
    </w:p>
    <w:tbl>
      <w:tblPr>
        <w:tblStyle w:val="57"/>
        <w:tblW w:w="9824" w:type="dxa"/>
        <w:jc w:val="center"/>
        <w:tblLayout w:type="fixed"/>
        <w:tblCellMar>
          <w:top w:w="0" w:type="dxa"/>
          <w:left w:w="0" w:type="dxa"/>
          <w:bottom w:w="0" w:type="dxa"/>
          <w:right w:w="0" w:type="dxa"/>
        </w:tblCellMar>
      </w:tblPr>
      <w:tblGrid>
        <w:gridCol w:w="807"/>
        <w:gridCol w:w="835"/>
        <w:gridCol w:w="769"/>
        <w:gridCol w:w="787"/>
        <w:gridCol w:w="750"/>
        <w:gridCol w:w="750"/>
        <w:gridCol w:w="769"/>
        <w:gridCol w:w="2156"/>
        <w:gridCol w:w="1321"/>
        <w:gridCol w:w="880"/>
      </w:tblGrid>
      <w:tr>
        <w:tblPrEx>
          <w:tblCellMar>
            <w:top w:w="0" w:type="dxa"/>
            <w:left w:w="0" w:type="dxa"/>
            <w:bottom w:w="0" w:type="dxa"/>
            <w:right w:w="0" w:type="dxa"/>
          </w:tblCellMar>
        </w:tblPrEx>
        <w:trPr>
          <w:trHeight w:val="23" w:hRule="atLeast"/>
          <w:jc w:val="center"/>
        </w:trPr>
        <w:tc>
          <w:tcPr>
            <w:tcW w:w="8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序号</w:t>
            </w:r>
          </w:p>
        </w:tc>
        <w:tc>
          <w:tcPr>
            <w:tcW w:w="8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设备</w:t>
            </w:r>
          </w:p>
        </w:tc>
        <w:tc>
          <w:tcPr>
            <w:tcW w:w="382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周期</w:t>
            </w:r>
          </w:p>
        </w:tc>
        <w:tc>
          <w:tcPr>
            <w:tcW w:w="21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工作标准</w:t>
            </w:r>
          </w:p>
        </w:tc>
        <w:tc>
          <w:tcPr>
            <w:tcW w:w="13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扣分原因</w:t>
            </w:r>
          </w:p>
        </w:tc>
        <w:tc>
          <w:tcPr>
            <w:tcW w:w="8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扣分数</w:t>
            </w:r>
            <w:r>
              <w:rPr>
                <w:rFonts w:hint="eastAsia" w:ascii="仿宋_GB2312" w:hAnsi="仿宋_GB2312" w:cs="仿宋_GB2312"/>
                <w:kern w:val="0"/>
                <w:szCs w:val="21"/>
                <w:lang w:bidi="ar"/>
              </w:rPr>
              <w:br w:type="textWrapping"/>
            </w:r>
            <w:r>
              <w:rPr>
                <w:rFonts w:hint="eastAsia" w:ascii="仿宋_GB2312" w:hAnsi="仿宋_GB2312" w:cs="仿宋_GB2312"/>
                <w:kern w:val="0"/>
                <w:szCs w:val="21"/>
                <w:lang w:bidi="ar"/>
              </w:rPr>
              <w:t>（分）</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每日</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每月</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每季度</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每年</w:t>
            </w:r>
          </w:p>
        </w:tc>
        <w:tc>
          <w:tcPr>
            <w:tcW w:w="21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3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r>
      <w:tr>
        <w:tblPrEx>
          <w:tblCellMar>
            <w:top w:w="0" w:type="dxa"/>
            <w:left w:w="0" w:type="dxa"/>
            <w:bottom w:w="0" w:type="dxa"/>
            <w:right w:w="0" w:type="dxa"/>
          </w:tblCellMar>
        </w:tblPrEx>
        <w:trPr>
          <w:trHeight w:val="23" w:hRule="atLeast"/>
          <w:jc w:val="center"/>
        </w:trPr>
        <w:tc>
          <w:tcPr>
            <w:tcW w:w="8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c>
          <w:tcPr>
            <w:tcW w:w="8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风机</w:t>
            </w: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润滑油位足够</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皮带松紧度合适</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地脚螺丝紧固</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压力表显示正常</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电机温升正常，不超过80℃</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运转平稳无异响</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2</w:t>
            </w:r>
          </w:p>
        </w:tc>
        <w:tc>
          <w:tcPr>
            <w:tcW w:w="8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加药计量泵</w:t>
            </w: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地脚螺栓无松动</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泵进出口水管无破损漏气</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加药量正常</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3</w:t>
            </w:r>
          </w:p>
        </w:tc>
        <w:tc>
          <w:tcPr>
            <w:tcW w:w="8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超声波流量计</w:t>
            </w: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探头紧固螺栓无松动</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信号线无破损</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仪表显示正常</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4</w:t>
            </w:r>
          </w:p>
        </w:tc>
        <w:tc>
          <w:tcPr>
            <w:tcW w:w="8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配电柜</w:t>
            </w: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指示灯显示正常</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电气设备工作时无异常声响</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导线、开关、接触器、继电器线圈、接线端子无过热及打火现象</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5</w:t>
            </w:r>
          </w:p>
        </w:tc>
        <w:tc>
          <w:tcPr>
            <w:tcW w:w="8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在线检测仪表</w:t>
            </w: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探头紧固螺栓无松动</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信号线无破损</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仪表显示正常</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bl>
    <w:p>
      <w:pPr>
        <w:ind w:firstLine="211" w:firstLineChars="100"/>
        <w:rPr>
          <w:rFonts w:ascii="黑体" w:hAnsi="黑体" w:eastAsia="黑体"/>
          <w:b/>
          <w:kern w:val="0"/>
        </w:rPr>
      </w:pPr>
      <w:r>
        <w:rPr>
          <w:rFonts w:hint="eastAsia" w:ascii="黑体" w:hAnsi="黑体" w:eastAsia="黑体"/>
          <w:b/>
          <w:kern w:val="0"/>
        </w:rPr>
        <w:t>（4）设备保养考核标准</w:t>
      </w:r>
    </w:p>
    <w:tbl>
      <w:tblPr>
        <w:tblStyle w:val="57"/>
        <w:tblW w:w="9820" w:type="dxa"/>
        <w:jc w:val="center"/>
        <w:tblLayout w:type="fixed"/>
        <w:tblCellMar>
          <w:top w:w="0" w:type="dxa"/>
          <w:left w:w="0" w:type="dxa"/>
          <w:bottom w:w="0" w:type="dxa"/>
          <w:right w:w="0" w:type="dxa"/>
        </w:tblCellMar>
      </w:tblPr>
      <w:tblGrid>
        <w:gridCol w:w="775"/>
        <w:gridCol w:w="774"/>
        <w:gridCol w:w="970"/>
        <w:gridCol w:w="775"/>
        <w:gridCol w:w="774"/>
        <w:gridCol w:w="775"/>
        <w:gridCol w:w="774"/>
        <w:gridCol w:w="2023"/>
        <w:gridCol w:w="1312"/>
        <w:gridCol w:w="868"/>
      </w:tblGrid>
      <w:tr>
        <w:tblPrEx>
          <w:tblCellMar>
            <w:top w:w="0" w:type="dxa"/>
            <w:left w:w="0" w:type="dxa"/>
            <w:bottom w:w="0" w:type="dxa"/>
            <w:right w:w="0" w:type="dxa"/>
          </w:tblCellMar>
        </w:tblPrEx>
        <w:trPr>
          <w:trHeight w:val="23" w:hRule="atLeast"/>
          <w:jc w:val="center"/>
        </w:trPr>
        <w:tc>
          <w:tcPr>
            <w:tcW w:w="7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序号</w:t>
            </w:r>
          </w:p>
        </w:tc>
        <w:tc>
          <w:tcPr>
            <w:tcW w:w="7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设备</w:t>
            </w:r>
          </w:p>
        </w:tc>
        <w:tc>
          <w:tcPr>
            <w:tcW w:w="9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工作内容</w:t>
            </w:r>
          </w:p>
        </w:tc>
        <w:tc>
          <w:tcPr>
            <w:tcW w:w="309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周期</w:t>
            </w:r>
          </w:p>
        </w:tc>
        <w:tc>
          <w:tcPr>
            <w:tcW w:w="20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工作标准</w:t>
            </w:r>
          </w:p>
        </w:tc>
        <w:tc>
          <w:tcPr>
            <w:tcW w:w="13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扣分原因</w:t>
            </w:r>
          </w:p>
        </w:tc>
        <w:tc>
          <w:tcPr>
            <w:tcW w:w="8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扣分数</w:t>
            </w:r>
            <w:r>
              <w:rPr>
                <w:rFonts w:hint="eastAsia" w:ascii="仿宋_GB2312" w:hAnsi="仿宋_GB2312" w:cs="仿宋_GB2312"/>
                <w:kern w:val="0"/>
                <w:szCs w:val="21"/>
                <w:lang w:bidi="ar"/>
              </w:rPr>
              <w:br w:type="textWrapping"/>
            </w:r>
            <w:r>
              <w:rPr>
                <w:rFonts w:hint="eastAsia" w:ascii="仿宋_GB2312" w:hAnsi="仿宋_GB2312" w:cs="仿宋_GB2312"/>
                <w:kern w:val="0"/>
                <w:szCs w:val="21"/>
                <w:lang w:bidi="ar"/>
              </w:rPr>
              <w:t>（分）</w:t>
            </w:r>
          </w:p>
        </w:tc>
      </w:tr>
      <w:tr>
        <w:tblPrEx>
          <w:tblCellMar>
            <w:top w:w="0" w:type="dxa"/>
            <w:left w:w="0" w:type="dxa"/>
            <w:bottom w:w="0" w:type="dxa"/>
            <w:right w:w="0" w:type="dxa"/>
          </w:tblCellMar>
        </w:tblPrEx>
        <w:trPr>
          <w:trHeight w:val="23" w:hRule="atLeast"/>
          <w:jc w:val="center"/>
        </w:trPr>
        <w:tc>
          <w:tcPr>
            <w:tcW w:w="7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9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每周</w:t>
            </w: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每月</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每季度</w:t>
            </w: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每年</w:t>
            </w:r>
          </w:p>
        </w:tc>
        <w:tc>
          <w:tcPr>
            <w:tcW w:w="20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3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r>
      <w:tr>
        <w:tblPrEx>
          <w:tblCellMar>
            <w:top w:w="0" w:type="dxa"/>
            <w:left w:w="0" w:type="dxa"/>
            <w:bottom w:w="0" w:type="dxa"/>
            <w:right w:w="0" w:type="dxa"/>
          </w:tblCellMar>
        </w:tblPrEx>
        <w:trPr>
          <w:trHeight w:val="23" w:hRule="atLeast"/>
          <w:jc w:val="center"/>
        </w:trPr>
        <w:tc>
          <w:tcPr>
            <w:tcW w:w="7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2</w:t>
            </w:r>
          </w:p>
        </w:tc>
        <w:tc>
          <w:tcPr>
            <w:tcW w:w="7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风机</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齿轮箱</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油位至油标红线以上</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传动皮带</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更换</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消声器</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滤网无灰尘堆积</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止回阀</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无磨损、卡死现象</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4</w:t>
            </w: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加药计量泵</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进出管道</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疏通无堵塞、破损</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5</w:t>
            </w: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配电柜</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电器元件</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电器元件紧固无松动</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bl>
    <w:p>
      <w:pPr>
        <w:ind w:firstLine="211" w:firstLineChars="100"/>
        <w:rPr>
          <w:rFonts w:ascii="黑体" w:hAnsi="黑体" w:eastAsia="黑体"/>
          <w:b/>
          <w:kern w:val="0"/>
        </w:rPr>
      </w:pPr>
      <w:r>
        <w:rPr>
          <w:rFonts w:hint="eastAsia" w:ascii="黑体" w:hAnsi="黑体" w:eastAsia="黑体"/>
          <w:b/>
          <w:kern w:val="0"/>
        </w:rPr>
        <w:t>（5）处理系统水池和化粪池、污泥干化池清掏及清理考核标准</w:t>
      </w:r>
    </w:p>
    <w:tbl>
      <w:tblPr>
        <w:tblStyle w:val="57"/>
        <w:tblW w:w="9800" w:type="dxa"/>
        <w:jc w:val="center"/>
        <w:tblLayout w:type="fixed"/>
        <w:tblCellMar>
          <w:top w:w="0" w:type="dxa"/>
          <w:left w:w="0" w:type="dxa"/>
          <w:bottom w:w="0" w:type="dxa"/>
          <w:right w:w="0" w:type="dxa"/>
        </w:tblCellMar>
      </w:tblPr>
      <w:tblGrid>
        <w:gridCol w:w="863"/>
        <w:gridCol w:w="1291"/>
        <w:gridCol w:w="863"/>
        <w:gridCol w:w="863"/>
        <w:gridCol w:w="861"/>
        <w:gridCol w:w="2553"/>
        <w:gridCol w:w="1641"/>
        <w:gridCol w:w="865"/>
      </w:tblGrid>
      <w:tr>
        <w:tblPrEx>
          <w:tblCellMar>
            <w:top w:w="0" w:type="dxa"/>
            <w:left w:w="0" w:type="dxa"/>
            <w:bottom w:w="0" w:type="dxa"/>
            <w:right w:w="0" w:type="dxa"/>
          </w:tblCellMar>
        </w:tblPrEx>
        <w:trPr>
          <w:trHeight w:val="23" w:hRule="atLeast"/>
          <w:jc w:val="center"/>
        </w:trPr>
        <w:tc>
          <w:tcPr>
            <w:tcW w:w="8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序号</w:t>
            </w:r>
          </w:p>
        </w:tc>
        <w:tc>
          <w:tcPr>
            <w:tcW w:w="12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工作内容</w:t>
            </w:r>
          </w:p>
        </w:tc>
        <w:tc>
          <w:tcPr>
            <w:tcW w:w="25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周期</w:t>
            </w:r>
          </w:p>
        </w:tc>
        <w:tc>
          <w:tcPr>
            <w:tcW w:w="255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工作标准</w:t>
            </w:r>
          </w:p>
        </w:tc>
        <w:tc>
          <w:tcPr>
            <w:tcW w:w="16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扣分原因</w:t>
            </w:r>
          </w:p>
        </w:tc>
        <w:tc>
          <w:tcPr>
            <w:tcW w:w="8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扣分数</w:t>
            </w:r>
            <w:r>
              <w:rPr>
                <w:rFonts w:hint="eastAsia" w:ascii="仿宋_GB2312" w:hAnsi="仿宋_GB2312" w:cs="仿宋_GB2312"/>
                <w:kern w:val="0"/>
                <w:szCs w:val="21"/>
                <w:lang w:bidi="ar"/>
              </w:rPr>
              <w:br w:type="textWrapping"/>
            </w:r>
            <w:r>
              <w:rPr>
                <w:rFonts w:hint="eastAsia" w:ascii="仿宋_GB2312" w:hAnsi="仿宋_GB2312" w:cs="仿宋_GB2312"/>
                <w:kern w:val="0"/>
                <w:szCs w:val="21"/>
                <w:lang w:bidi="ar"/>
              </w:rPr>
              <w:t>（分）</w:t>
            </w:r>
          </w:p>
        </w:tc>
      </w:tr>
      <w:tr>
        <w:tblPrEx>
          <w:tblCellMar>
            <w:top w:w="0" w:type="dxa"/>
            <w:left w:w="0" w:type="dxa"/>
            <w:bottom w:w="0" w:type="dxa"/>
            <w:right w:w="0" w:type="dxa"/>
          </w:tblCellMar>
        </w:tblPrEx>
        <w:trPr>
          <w:trHeight w:val="291" w:hRule="atLeast"/>
          <w:jc w:val="center"/>
        </w:trPr>
        <w:tc>
          <w:tcPr>
            <w:tcW w:w="8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每季度</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每半年</w:t>
            </w: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每年</w:t>
            </w:r>
          </w:p>
        </w:tc>
        <w:tc>
          <w:tcPr>
            <w:tcW w:w="25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r>
      <w:tr>
        <w:tblPrEx>
          <w:tblCellMar>
            <w:top w:w="0" w:type="dxa"/>
            <w:left w:w="0" w:type="dxa"/>
            <w:bottom w:w="0" w:type="dxa"/>
            <w:right w:w="0"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c>
          <w:tcPr>
            <w:tcW w:w="1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化粪池</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color w:val="FF0000"/>
                <w:kern w:val="0"/>
                <w:szCs w:val="21"/>
                <w:lang w:bidi="ar"/>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ascii="仿宋_GB2312" w:hAnsi="仿宋_GB2312" w:cs="仿宋_GB2312"/>
                <w:color w:val="FF0000"/>
                <w:kern w:val="0"/>
                <w:szCs w:val="21"/>
                <w:lang w:bidi="ar"/>
              </w:rPr>
              <w:t>√</w:t>
            </w:r>
          </w:p>
        </w:tc>
        <w:tc>
          <w:tcPr>
            <w:tcW w:w="2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color w:val="FF0000"/>
                <w:kern w:val="0"/>
                <w:szCs w:val="21"/>
                <w:lang w:bidi="ar"/>
              </w:rPr>
            </w:pPr>
            <w:r>
              <w:rPr>
                <w:rFonts w:hint="eastAsia" w:ascii="仿宋_GB2312" w:hAnsi="仿宋_GB2312" w:cs="仿宋_GB2312"/>
                <w:color w:val="FF0000"/>
                <w:kern w:val="0"/>
                <w:szCs w:val="21"/>
                <w:lang w:bidi="ar"/>
              </w:rPr>
              <w:t>至少两次，视情况而定</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2</w:t>
            </w:r>
          </w:p>
        </w:tc>
        <w:tc>
          <w:tcPr>
            <w:tcW w:w="1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厌氧池</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color w:val="FF0000"/>
                <w:kern w:val="0"/>
                <w:szCs w:val="21"/>
                <w:lang w:bidi="ar"/>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ascii="仿宋_GB2312" w:hAnsi="仿宋_GB2312" w:cs="仿宋_GB2312"/>
                <w:color w:val="FF0000"/>
                <w:kern w:val="0"/>
                <w:szCs w:val="21"/>
                <w:lang w:bidi="ar"/>
              </w:rPr>
              <w:t>√</w:t>
            </w:r>
          </w:p>
        </w:tc>
        <w:tc>
          <w:tcPr>
            <w:tcW w:w="2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color w:val="FF0000"/>
                <w:kern w:val="0"/>
                <w:szCs w:val="21"/>
                <w:lang w:bidi="ar"/>
              </w:rPr>
            </w:pPr>
            <w:r>
              <w:rPr>
                <w:rFonts w:hint="eastAsia" w:ascii="仿宋_GB2312" w:hAnsi="仿宋_GB2312" w:cs="仿宋_GB2312"/>
                <w:color w:val="FF0000"/>
                <w:kern w:val="0"/>
                <w:szCs w:val="21"/>
                <w:lang w:bidi="ar"/>
              </w:rPr>
              <w:t>至少两次，视情况而定</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3</w:t>
            </w:r>
          </w:p>
        </w:tc>
        <w:tc>
          <w:tcPr>
            <w:tcW w:w="1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好氧池清洗</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color w:val="FF0000"/>
                <w:kern w:val="0"/>
                <w:szCs w:val="21"/>
                <w:lang w:bidi="ar"/>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ascii="仿宋_GB2312" w:hAnsi="仿宋_GB2312" w:cs="仿宋_GB2312"/>
                <w:color w:val="FF0000"/>
                <w:kern w:val="0"/>
                <w:szCs w:val="21"/>
                <w:lang w:bidi="ar"/>
              </w:rPr>
              <w:t>√</w:t>
            </w:r>
          </w:p>
        </w:tc>
        <w:tc>
          <w:tcPr>
            <w:tcW w:w="2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color w:val="FF0000"/>
                <w:kern w:val="0"/>
                <w:szCs w:val="21"/>
                <w:lang w:bidi="ar"/>
              </w:rPr>
            </w:pPr>
            <w:r>
              <w:rPr>
                <w:rFonts w:hint="eastAsia" w:ascii="仿宋_GB2312" w:hAnsi="仿宋_GB2312" w:cs="仿宋_GB2312"/>
                <w:color w:val="FF0000"/>
                <w:kern w:val="0"/>
                <w:szCs w:val="21"/>
                <w:lang w:bidi="ar"/>
              </w:rPr>
              <w:t>至少两次，视情况而定</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4</w:t>
            </w:r>
          </w:p>
        </w:tc>
        <w:tc>
          <w:tcPr>
            <w:tcW w:w="1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沉淀池清洗</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color w:val="FF0000"/>
                <w:kern w:val="0"/>
                <w:szCs w:val="21"/>
                <w:lang w:bidi="ar"/>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ascii="仿宋_GB2312" w:hAnsi="仿宋_GB2312" w:cs="仿宋_GB2312"/>
                <w:color w:val="FF0000"/>
                <w:kern w:val="0"/>
                <w:szCs w:val="21"/>
                <w:lang w:bidi="ar"/>
              </w:rPr>
              <w:t>√</w:t>
            </w:r>
          </w:p>
        </w:tc>
        <w:tc>
          <w:tcPr>
            <w:tcW w:w="2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color w:val="FF0000"/>
                <w:kern w:val="0"/>
                <w:szCs w:val="21"/>
                <w:lang w:bidi="ar"/>
              </w:rPr>
            </w:pPr>
            <w:r>
              <w:rPr>
                <w:rFonts w:hint="eastAsia" w:ascii="仿宋_GB2312" w:hAnsi="仿宋_GB2312" w:cs="仿宋_GB2312"/>
                <w:color w:val="FF0000"/>
                <w:kern w:val="0"/>
                <w:szCs w:val="21"/>
                <w:lang w:bidi="ar"/>
              </w:rPr>
              <w:t>至少两次，视情况而定</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5</w:t>
            </w:r>
          </w:p>
        </w:tc>
        <w:tc>
          <w:tcPr>
            <w:tcW w:w="1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9"/>
            </w:pPr>
            <w:r>
              <w:rPr>
                <w:rFonts w:hint="eastAsia"/>
              </w:rPr>
              <w:t>定量池</w:t>
            </w:r>
            <w:r>
              <w:rPr>
                <w:rFonts w:hint="eastAsia" w:ascii="仿宋_GB2312" w:hAnsi="仿宋_GB2312" w:cs="仿宋_GB2312"/>
                <w:kern w:val="0"/>
                <w:szCs w:val="21"/>
                <w:lang w:bidi="ar"/>
              </w:rPr>
              <w:t>清洗</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color w:val="FF0000"/>
                <w:kern w:val="0"/>
                <w:szCs w:val="21"/>
                <w:lang w:bidi="ar"/>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ascii="仿宋_GB2312" w:hAnsi="仿宋_GB2312" w:cs="仿宋_GB2312"/>
                <w:color w:val="FF0000"/>
                <w:kern w:val="0"/>
                <w:szCs w:val="21"/>
                <w:lang w:bidi="ar"/>
              </w:rPr>
              <w:t>√</w:t>
            </w:r>
          </w:p>
        </w:tc>
        <w:tc>
          <w:tcPr>
            <w:tcW w:w="2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color w:val="FF0000"/>
                <w:kern w:val="0"/>
                <w:szCs w:val="21"/>
                <w:lang w:bidi="ar"/>
              </w:rPr>
            </w:pPr>
            <w:r>
              <w:rPr>
                <w:rFonts w:hint="eastAsia" w:ascii="仿宋_GB2312" w:hAnsi="仿宋_GB2312" w:cs="仿宋_GB2312"/>
                <w:color w:val="FF0000"/>
                <w:kern w:val="0"/>
                <w:szCs w:val="21"/>
                <w:lang w:bidi="ar"/>
              </w:rPr>
              <w:t>至少两次，视情况而定</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6</w:t>
            </w:r>
          </w:p>
        </w:tc>
        <w:tc>
          <w:tcPr>
            <w:tcW w:w="1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排放口清洗</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63" w:type="dxa"/>
            <w:tcBorders>
              <w:top w:val="nil"/>
              <w:left w:val="nil"/>
              <w:bottom w:val="nil"/>
              <w:right w:val="nil"/>
            </w:tcBorders>
            <w:tcMar>
              <w:top w:w="15" w:type="dxa"/>
              <w:left w:w="15" w:type="dxa"/>
              <w:right w:w="15" w:type="dxa"/>
            </w:tcMar>
            <w:vAlign w:val="center"/>
          </w:tcPr>
          <w:p>
            <w:pPr>
              <w:jc w:val="center"/>
              <w:textAlignment w:val="center"/>
              <w:rPr>
                <w:rFonts w:ascii="仿宋_GB2312" w:hAnsi="仿宋_GB2312" w:cs="仿宋_GB2312"/>
                <w:color w:val="FF0000"/>
                <w:kern w:val="0"/>
                <w:szCs w:val="21"/>
                <w:lang w:bidi="ar"/>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ascii="仿宋_GB2312" w:hAnsi="仿宋_GB2312" w:cs="仿宋_GB2312"/>
                <w:color w:val="FF0000"/>
                <w:kern w:val="0"/>
                <w:szCs w:val="21"/>
                <w:lang w:bidi="ar"/>
              </w:rPr>
              <w:t>√</w:t>
            </w:r>
          </w:p>
        </w:tc>
        <w:tc>
          <w:tcPr>
            <w:tcW w:w="2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color w:val="FF0000"/>
                <w:kern w:val="0"/>
                <w:szCs w:val="21"/>
                <w:lang w:bidi="ar"/>
              </w:rPr>
            </w:pPr>
            <w:r>
              <w:rPr>
                <w:rFonts w:hint="eastAsia" w:ascii="仿宋_GB2312" w:hAnsi="仿宋_GB2312" w:cs="仿宋_GB2312"/>
                <w:color w:val="FF0000"/>
                <w:kern w:val="0"/>
                <w:szCs w:val="21"/>
                <w:lang w:bidi="ar"/>
              </w:rPr>
              <w:t>至少四次，视情况而定</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7</w:t>
            </w:r>
          </w:p>
        </w:tc>
        <w:tc>
          <w:tcPr>
            <w:tcW w:w="1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color w:val="FF0000"/>
                <w:kern w:val="0"/>
                <w:szCs w:val="21"/>
                <w:lang w:bidi="ar"/>
              </w:rPr>
              <w:t>除臭</w:t>
            </w:r>
            <w:r>
              <w:rPr>
                <w:rFonts w:hint="eastAsia"/>
              </w:rPr>
              <w:t>活性炭更换</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color w:val="FF0000"/>
                <w:kern w:val="0"/>
                <w:szCs w:val="21"/>
                <w:lang w:bidi="ar"/>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ascii="仿宋_GB2312" w:hAnsi="仿宋_GB2312" w:cs="仿宋_GB2312"/>
                <w:color w:val="FF0000"/>
                <w:kern w:val="0"/>
                <w:szCs w:val="21"/>
                <w:lang w:bidi="ar"/>
              </w:rPr>
              <w:t>√</w:t>
            </w:r>
          </w:p>
        </w:tc>
        <w:tc>
          <w:tcPr>
            <w:tcW w:w="2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color w:val="FF0000"/>
                <w:kern w:val="0"/>
                <w:szCs w:val="21"/>
                <w:lang w:bidi="ar"/>
              </w:rPr>
            </w:pPr>
            <w:r>
              <w:rPr>
                <w:rFonts w:hint="eastAsia" w:ascii="仿宋_GB2312" w:hAnsi="仿宋_GB2312" w:cs="仿宋_GB2312"/>
                <w:color w:val="FF0000"/>
                <w:kern w:val="0"/>
                <w:szCs w:val="21"/>
                <w:lang w:bidi="ar"/>
              </w:rPr>
              <w:t>至少两次，视情况而定</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bl>
    <w:p>
      <w:pPr>
        <w:ind w:firstLine="211" w:firstLineChars="100"/>
        <w:rPr>
          <w:rFonts w:ascii="黑体" w:hAnsi="黑体" w:eastAsia="黑体"/>
          <w:b/>
          <w:kern w:val="0"/>
        </w:rPr>
      </w:pPr>
      <w:r>
        <w:rPr>
          <w:rFonts w:hint="eastAsia" w:ascii="黑体" w:hAnsi="黑体" w:eastAsia="黑体"/>
          <w:b/>
          <w:kern w:val="0"/>
        </w:rPr>
        <w:t>（6）污水站工作考核标准</w:t>
      </w:r>
    </w:p>
    <w:tbl>
      <w:tblPr>
        <w:tblStyle w:val="57"/>
        <w:tblW w:w="9780" w:type="dxa"/>
        <w:jc w:val="center"/>
        <w:tblLayout w:type="fixed"/>
        <w:tblCellMar>
          <w:top w:w="0" w:type="dxa"/>
          <w:left w:w="0" w:type="dxa"/>
          <w:bottom w:w="0" w:type="dxa"/>
          <w:right w:w="0" w:type="dxa"/>
        </w:tblCellMar>
      </w:tblPr>
      <w:tblGrid>
        <w:gridCol w:w="661"/>
        <w:gridCol w:w="2438"/>
        <w:gridCol w:w="429"/>
        <w:gridCol w:w="430"/>
        <w:gridCol w:w="429"/>
        <w:gridCol w:w="629"/>
        <w:gridCol w:w="630"/>
        <w:gridCol w:w="428"/>
        <w:gridCol w:w="1246"/>
        <w:gridCol w:w="1612"/>
        <w:gridCol w:w="848"/>
      </w:tblGrid>
      <w:tr>
        <w:tblPrEx>
          <w:tblCellMar>
            <w:top w:w="0" w:type="dxa"/>
            <w:left w:w="0" w:type="dxa"/>
            <w:bottom w:w="0" w:type="dxa"/>
            <w:right w:w="0" w:type="dxa"/>
          </w:tblCellMar>
        </w:tblPrEx>
        <w:trPr>
          <w:trHeight w:val="522" w:hRule="atLeast"/>
          <w:jc w:val="center"/>
        </w:trPr>
        <w:tc>
          <w:tcPr>
            <w:tcW w:w="66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序号</w:t>
            </w:r>
          </w:p>
        </w:tc>
        <w:tc>
          <w:tcPr>
            <w:tcW w:w="24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工作内容</w:t>
            </w:r>
          </w:p>
        </w:tc>
        <w:tc>
          <w:tcPr>
            <w:tcW w:w="297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周期</w:t>
            </w:r>
          </w:p>
        </w:tc>
        <w:tc>
          <w:tcPr>
            <w:tcW w:w="12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备注</w:t>
            </w:r>
          </w:p>
        </w:tc>
        <w:tc>
          <w:tcPr>
            <w:tcW w:w="16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扣分原因</w:t>
            </w:r>
          </w:p>
        </w:tc>
        <w:tc>
          <w:tcPr>
            <w:tcW w:w="8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扣分数</w:t>
            </w:r>
            <w:r>
              <w:rPr>
                <w:rFonts w:hint="eastAsia" w:ascii="仿宋_GB2312" w:hAnsi="仿宋_GB2312" w:cs="仿宋_GB2312"/>
                <w:kern w:val="0"/>
                <w:szCs w:val="21"/>
                <w:lang w:bidi="ar"/>
              </w:rPr>
              <w:br w:type="textWrapping"/>
            </w:r>
            <w:r>
              <w:rPr>
                <w:rFonts w:hint="eastAsia" w:ascii="仿宋_GB2312" w:hAnsi="仿宋_GB2312" w:cs="仿宋_GB2312"/>
                <w:kern w:val="0"/>
                <w:szCs w:val="21"/>
                <w:lang w:bidi="ar"/>
              </w:rPr>
              <w:t>（分）</w:t>
            </w:r>
          </w:p>
        </w:tc>
      </w:tr>
      <w:tr>
        <w:tblPrEx>
          <w:tblCellMar>
            <w:top w:w="0" w:type="dxa"/>
            <w:left w:w="0" w:type="dxa"/>
            <w:bottom w:w="0" w:type="dxa"/>
            <w:right w:w="0" w:type="dxa"/>
          </w:tblCellMar>
        </w:tblPrEx>
        <w:trPr>
          <w:trHeight w:val="641"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4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每日</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每周</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每月</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每季度</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每半年</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每年</w:t>
            </w:r>
          </w:p>
        </w:tc>
        <w:tc>
          <w:tcPr>
            <w:tcW w:w="12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6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r>
      <w:tr>
        <w:tblPrEx>
          <w:tblCellMar>
            <w:top w:w="0" w:type="dxa"/>
            <w:left w:w="0" w:type="dxa"/>
            <w:bottom w:w="0" w:type="dxa"/>
            <w:right w:w="0" w:type="dxa"/>
          </w:tblCellMar>
        </w:tblPrEx>
        <w:trPr>
          <w:trHeight w:val="343"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药剂及材料购买</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343"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2</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化学药剂投放</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343"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3</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负责每日运营现场及周边环境的清洁；</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343"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4</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负责化粪池、工艺水池的巡检巡查；</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641"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5</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设备设施的日常检查及维护；</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1157"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6</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每天负责排污口水量大小及水质的观察，负责余氯及PH的每日不低于2次监测；</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343"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7</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根据工作完成情况按要求做好记录。</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343"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8</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负责外排污水达标排放水质检测</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取水样送第三方单位检测</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661"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9</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负责每月污水站基础数据的统计及分析，现场资料的收集及整理；</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661"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10</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人员的定期业务培训、管理培训、知识更新培训；</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661"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11</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每年不低于两次应急演练的方案编制及演练实施；</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343"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12</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负责落实业主临时交代的工作任务。</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532"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13</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环境保护突发事故的处理措施及应急处理；</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532"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14</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接受院领导及各级政府部门的督查和检查；</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472"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15</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化粪池清掏工作</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bl>
    <w:p>
      <w:pPr>
        <w:ind w:firstLine="211" w:firstLineChars="100"/>
        <w:rPr>
          <w:rFonts w:ascii="黑体" w:hAnsi="黑体" w:eastAsia="黑体"/>
          <w:b/>
          <w:kern w:val="0"/>
          <w:sz w:val="28"/>
          <w:szCs w:val="28"/>
        </w:rPr>
      </w:pPr>
      <w:r>
        <w:rPr>
          <w:rFonts w:hint="eastAsia" w:ascii="黑体" w:hAnsi="黑体" w:eastAsia="黑体"/>
          <w:b/>
          <w:kern w:val="0"/>
        </w:rPr>
        <w:t>（7）其他考核标准</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750"/>
        <w:gridCol w:w="2425"/>
        <w:gridCol w:w="888"/>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Align w:val="center"/>
          </w:tcPr>
          <w:p>
            <w:pPr>
              <w:spacing w:line="280" w:lineRule="exact"/>
              <w:rPr>
                <w:rFonts w:ascii="仿宋_GB2312" w:cs="黑体"/>
                <w:szCs w:val="18"/>
              </w:rPr>
            </w:pPr>
            <w:r>
              <w:rPr>
                <w:rFonts w:hint="eastAsia" w:ascii="仿宋_GB2312" w:cs="黑体"/>
                <w:szCs w:val="18"/>
              </w:rPr>
              <w:t>分部名称</w:t>
            </w:r>
          </w:p>
        </w:tc>
        <w:tc>
          <w:tcPr>
            <w:tcW w:w="3750" w:type="dxa"/>
            <w:vAlign w:val="center"/>
          </w:tcPr>
          <w:p>
            <w:pPr>
              <w:spacing w:line="280" w:lineRule="exact"/>
              <w:rPr>
                <w:rFonts w:ascii="仿宋_GB2312" w:cs="黑体"/>
                <w:szCs w:val="18"/>
              </w:rPr>
            </w:pPr>
            <w:r>
              <w:rPr>
                <w:rFonts w:hint="eastAsia" w:ascii="仿宋_GB2312" w:cs="黑体"/>
                <w:szCs w:val="18"/>
              </w:rPr>
              <w:t>考核标准</w:t>
            </w:r>
          </w:p>
        </w:tc>
        <w:tc>
          <w:tcPr>
            <w:tcW w:w="2425" w:type="dxa"/>
            <w:vAlign w:val="center"/>
          </w:tcPr>
          <w:p>
            <w:pPr>
              <w:spacing w:line="280" w:lineRule="exact"/>
              <w:rPr>
                <w:rFonts w:ascii="仿宋_GB2312" w:cs="黑体"/>
                <w:szCs w:val="18"/>
              </w:rPr>
            </w:pPr>
            <w:r>
              <w:rPr>
                <w:rFonts w:hint="eastAsia" w:ascii="仿宋_GB2312" w:cs="黑体"/>
                <w:szCs w:val="18"/>
              </w:rPr>
              <w:t>扣分原因</w:t>
            </w:r>
          </w:p>
        </w:tc>
        <w:tc>
          <w:tcPr>
            <w:tcW w:w="888" w:type="dxa"/>
            <w:vAlign w:val="center"/>
          </w:tcPr>
          <w:p>
            <w:pPr>
              <w:spacing w:line="280" w:lineRule="exact"/>
              <w:jc w:val="center"/>
              <w:rPr>
                <w:rFonts w:ascii="仿宋_GB2312" w:cs="黑体"/>
                <w:szCs w:val="18"/>
              </w:rPr>
            </w:pPr>
            <w:r>
              <w:rPr>
                <w:rFonts w:hint="eastAsia" w:ascii="仿宋_GB2312" w:cs="黑体"/>
                <w:szCs w:val="18"/>
              </w:rPr>
              <w:t>扣分数（分）</w:t>
            </w:r>
          </w:p>
        </w:tc>
        <w:tc>
          <w:tcPr>
            <w:tcW w:w="2034" w:type="dxa"/>
            <w:vAlign w:val="center"/>
          </w:tcPr>
          <w:p>
            <w:pPr>
              <w:spacing w:line="280" w:lineRule="exact"/>
              <w:rPr>
                <w:rFonts w:ascii="仿宋_GB2312" w:cs="黑体"/>
                <w:szCs w:val="18"/>
              </w:rPr>
            </w:pPr>
            <w:r>
              <w:rPr>
                <w:rFonts w:hint="eastAsia" w:ascii="仿宋_GB2312" w:cs="黑体"/>
                <w:szCs w:val="18"/>
              </w:rPr>
              <w:t>其它处理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restart"/>
            <w:vAlign w:val="center"/>
          </w:tcPr>
          <w:p>
            <w:pPr>
              <w:spacing w:line="280" w:lineRule="exact"/>
              <w:rPr>
                <w:rFonts w:ascii="仿宋_GB2312" w:cs="黑体"/>
                <w:szCs w:val="18"/>
              </w:rPr>
            </w:pPr>
          </w:p>
          <w:p>
            <w:pPr>
              <w:spacing w:line="280" w:lineRule="exact"/>
              <w:rPr>
                <w:rFonts w:ascii="仿宋_GB2312" w:cs="黑体"/>
                <w:szCs w:val="18"/>
              </w:rPr>
            </w:pPr>
            <w:r>
              <w:rPr>
                <w:rFonts w:hint="eastAsia" w:ascii="仿宋_GB2312" w:cs="黑体"/>
                <w:szCs w:val="18"/>
              </w:rPr>
              <w:t>员工管理</w:t>
            </w:r>
          </w:p>
          <w:p>
            <w:pPr>
              <w:spacing w:line="280" w:lineRule="exact"/>
              <w:rPr>
                <w:rFonts w:ascii="仿宋_GB2312" w:cs="黑体"/>
                <w:szCs w:val="18"/>
              </w:rPr>
            </w:pPr>
          </w:p>
          <w:p>
            <w:pPr>
              <w:spacing w:line="280" w:lineRule="exact"/>
              <w:ind w:firstLine="420"/>
              <w:rPr>
                <w:rFonts w:ascii="仿宋_GB2312" w:cs="黑体"/>
                <w:szCs w:val="18"/>
              </w:rPr>
            </w:pPr>
          </w:p>
        </w:tc>
        <w:tc>
          <w:tcPr>
            <w:tcW w:w="3750" w:type="dxa"/>
            <w:vAlign w:val="center"/>
          </w:tcPr>
          <w:p>
            <w:pPr>
              <w:spacing w:line="280" w:lineRule="exact"/>
              <w:rPr>
                <w:rFonts w:ascii="仿宋_GB2312" w:cs="黑体"/>
                <w:szCs w:val="18"/>
              </w:rPr>
            </w:pPr>
            <w:r>
              <w:rPr>
                <w:rFonts w:hint="eastAsia" w:ascii="仿宋_GB2312" w:cs="黑体"/>
                <w:szCs w:val="18"/>
              </w:rPr>
              <w:t>统一穿戴甲方认可确定的服装，并佩戴统一发放的工作牌；上班时间不穿拖鞋，凉鞋；头发干净、整洁，不留怪异发型和色发，男员工应留短发，女员工长发应束起，且不能浓妆艳抹；保持手部清洁，不留长指甲，不涂有色指甲油。</w:t>
            </w:r>
          </w:p>
        </w:tc>
        <w:tc>
          <w:tcPr>
            <w:tcW w:w="2425" w:type="dxa"/>
            <w:vAlign w:val="center"/>
          </w:tcPr>
          <w:p>
            <w:pPr>
              <w:spacing w:line="280" w:lineRule="exact"/>
              <w:rPr>
                <w:rFonts w:ascii="仿宋_GB2312" w:cs="黑体"/>
                <w:szCs w:val="18"/>
              </w:rPr>
            </w:pPr>
            <w:r>
              <w:rPr>
                <w:rFonts w:hint="eastAsia" w:ascii="仿宋_GB2312" w:cs="黑体"/>
                <w:szCs w:val="18"/>
              </w:rPr>
              <w:t>发现工作人员仪容仪表不符合标准</w:t>
            </w:r>
            <w:r>
              <w:rPr>
                <w:rFonts w:ascii="仿宋_GB2312" w:cs="黑体"/>
                <w:szCs w:val="18"/>
              </w:rPr>
              <w:t>1</w:t>
            </w:r>
            <w:r>
              <w:rPr>
                <w:rFonts w:hint="eastAsia" w:ascii="仿宋_GB2312" w:cs="黑体"/>
                <w:szCs w:val="18"/>
              </w:rPr>
              <w:t>次</w:t>
            </w:r>
          </w:p>
        </w:tc>
        <w:tc>
          <w:tcPr>
            <w:tcW w:w="888" w:type="dxa"/>
            <w:vAlign w:val="center"/>
          </w:tcPr>
          <w:p>
            <w:pPr>
              <w:jc w:val="center"/>
              <w:rPr>
                <w:rFonts w:ascii="仿宋_GB2312"/>
                <w:szCs w:val="21"/>
              </w:rPr>
            </w:pPr>
            <w:r>
              <w:rPr>
                <w:rFonts w:hint="eastAsia" w:ascii="仿宋_GB2312"/>
                <w:szCs w:val="21"/>
              </w:rPr>
              <w:t>1</w:t>
            </w:r>
          </w:p>
        </w:tc>
        <w:tc>
          <w:tcPr>
            <w:tcW w:w="2034" w:type="dxa"/>
            <w:vAlign w:val="center"/>
          </w:tcPr>
          <w:p>
            <w:pPr>
              <w:spacing w:line="280" w:lineRule="exact"/>
              <w:rPr>
                <w:rFonts w:ascii="仿宋_GB2312" w:cs="黑体"/>
                <w:szCs w:val="18"/>
              </w:rPr>
            </w:pPr>
            <w:r>
              <w:rPr>
                <w:rFonts w:hint="eastAsia" w:ascii="仿宋_GB2312" w:cs="黑体"/>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vAlign w:val="center"/>
          </w:tcPr>
          <w:p>
            <w:pPr>
              <w:spacing w:line="280" w:lineRule="exact"/>
              <w:ind w:firstLine="420"/>
              <w:rPr>
                <w:rFonts w:ascii="仿宋_GB2312" w:cs="黑体"/>
                <w:szCs w:val="18"/>
              </w:rPr>
            </w:pPr>
          </w:p>
        </w:tc>
        <w:tc>
          <w:tcPr>
            <w:tcW w:w="3750" w:type="dxa"/>
            <w:vMerge w:val="restart"/>
            <w:vAlign w:val="center"/>
          </w:tcPr>
          <w:p>
            <w:pPr>
              <w:spacing w:line="280" w:lineRule="exact"/>
              <w:rPr>
                <w:rFonts w:ascii="仿宋_GB2312" w:cs="黑体"/>
                <w:szCs w:val="18"/>
              </w:rPr>
            </w:pPr>
            <w:r>
              <w:rPr>
                <w:rFonts w:hint="eastAsia" w:ascii="仿宋_GB2312" w:cs="黑体"/>
                <w:szCs w:val="18"/>
              </w:rPr>
              <w:t>服务人员主动服务，礼貌待客，亲切自然、不卑不亢。遇询问时回答问题应准确、耐心、有问必答，态度不生硬、不刁难，不发生争执；对老、弱、病、残、孕等特殊提供方便，对一视同仁，尊重民族习俗和宗教信仰。</w:t>
            </w:r>
          </w:p>
        </w:tc>
        <w:tc>
          <w:tcPr>
            <w:tcW w:w="2425" w:type="dxa"/>
            <w:vAlign w:val="center"/>
          </w:tcPr>
          <w:p>
            <w:pPr>
              <w:spacing w:line="280" w:lineRule="exact"/>
              <w:rPr>
                <w:rFonts w:ascii="仿宋_GB2312" w:cs="黑体"/>
                <w:szCs w:val="18"/>
              </w:rPr>
            </w:pPr>
            <w:r>
              <w:rPr>
                <w:rFonts w:hint="eastAsia" w:ascii="仿宋_GB2312" w:cs="黑体"/>
                <w:szCs w:val="18"/>
              </w:rPr>
              <w:t>发现工作人员服务态度不好，未达到标准要求</w:t>
            </w:r>
            <w:r>
              <w:rPr>
                <w:rFonts w:ascii="仿宋_GB2312" w:cs="黑体"/>
                <w:szCs w:val="18"/>
              </w:rPr>
              <w:t>1</w:t>
            </w:r>
            <w:r>
              <w:rPr>
                <w:rFonts w:hint="eastAsia" w:ascii="仿宋_GB2312" w:cs="黑体"/>
                <w:szCs w:val="18"/>
              </w:rPr>
              <w:t>次</w:t>
            </w:r>
          </w:p>
          <w:p>
            <w:pPr>
              <w:spacing w:line="280" w:lineRule="exact"/>
              <w:rPr>
                <w:rFonts w:ascii="仿宋_GB2312" w:cs="黑体"/>
                <w:szCs w:val="18"/>
              </w:rPr>
            </w:pPr>
          </w:p>
        </w:tc>
        <w:tc>
          <w:tcPr>
            <w:tcW w:w="888" w:type="dxa"/>
            <w:vAlign w:val="center"/>
          </w:tcPr>
          <w:p>
            <w:pPr>
              <w:jc w:val="center"/>
              <w:rPr>
                <w:rFonts w:ascii="仿宋_GB2312"/>
                <w:szCs w:val="21"/>
              </w:rPr>
            </w:pPr>
            <w:r>
              <w:rPr>
                <w:rFonts w:hint="eastAsia" w:ascii="仿宋_GB2312"/>
                <w:szCs w:val="21"/>
              </w:rPr>
              <w:t>1</w:t>
            </w:r>
          </w:p>
        </w:tc>
        <w:tc>
          <w:tcPr>
            <w:tcW w:w="2034" w:type="dxa"/>
            <w:vMerge w:val="restart"/>
            <w:vAlign w:val="center"/>
          </w:tcPr>
          <w:p>
            <w:pPr>
              <w:spacing w:line="280" w:lineRule="exact"/>
              <w:rPr>
                <w:rFonts w:ascii="仿宋_GB2312" w:cs="黑体"/>
                <w:szCs w:val="18"/>
              </w:rPr>
            </w:pPr>
            <w:r>
              <w:rPr>
                <w:rFonts w:hint="eastAsia" w:ascii="仿宋_GB2312" w:cs="黑体"/>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vAlign w:val="center"/>
          </w:tcPr>
          <w:p>
            <w:pPr>
              <w:spacing w:line="280" w:lineRule="exact"/>
              <w:ind w:firstLine="420"/>
              <w:rPr>
                <w:rFonts w:ascii="仿宋_GB2312" w:cs="黑体"/>
                <w:szCs w:val="18"/>
              </w:rPr>
            </w:pPr>
          </w:p>
        </w:tc>
        <w:tc>
          <w:tcPr>
            <w:tcW w:w="3750" w:type="dxa"/>
            <w:vMerge w:val="continue"/>
            <w:vAlign w:val="center"/>
          </w:tcPr>
          <w:p>
            <w:pPr>
              <w:spacing w:line="280" w:lineRule="exact"/>
              <w:rPr>
                <w:rFonts w:ascii="仿宋_GB2312" w:cs="黑体"/>
                <w:szCs w:val="18"/>
              </w:rPr>
            </w:pPr>
          </w:p>
        </w:tc>
        <w:tc>
          <w:tcPr>
            <w:tcW w:w="2425" w:type="dxa"/>
            <w:vAlign w:val="center"/>
          </w:tcPr>
          <w:p>
            <w:pPr>
              <w:spacing w:line="280" w:lineRule="exact"/>
              <w:rPr>
                <w:rFonts w:ascii="仿宋_GB2312" w:cs="黑体"/>
                <w:szCs w:val="18"/>
              </w:rPr>
            </w:pPr>
            <w:r>
              <w:rPr>
                <w:rFonts w:hint="eastAsia" w:ascii="仿宋_GB2312" w:cs="黑体"/>
                <w:szCs w:val="18"/>
              </w:rPr>
              <w:t>发现在工作中讲粗话或因讲粗话被投诉</w:t>
            </w:r>
            <w:r>
              <w:rPr>
                <w:rFonts w:ascii="仿宋_GB2312" w:cs="黑体"/>
                <w:szCs w:val="18"/>
              </w:rPr>
              <w:t>1</w:t>
            </w:r>
            <w:r>
              <w:rPr>
                <w:rFonts w:hint="eastAsia" w:ascii="仿宋_GB2312" w:cs="黑体"/>
                <w:szCs w:val="18"/>
              </w:rPr>
              <w:t>次</w:t>
            </w:r>
          </w:p>
        </w:tc>
        <w:tc>
          <w:tcPr>
            <w:tcW w:w="888" w:type="dxa"/>
            <w:vAlign w:val="center"/>
          </w:tcPr>
          <w:p>
            <w:pPr>
              <w:jc w:val="center"/>
              <w:rPr>
                <w:rFonts w:ascii="仿宋_GB2312"/>
                <w:szCs w:val="21"/>
              </w:rPr>
            </w:pPr>
            <w:r>
              <w:rPr>
                <w:rFonts w:hint="eastAsia" w:ascii="仿宋_GB2312"/>
                <w:szCs w:val="21"/>
              </w:rPr>
              <w:t>1</w:t>
            </w:r>
          </w:p>
        </w:tc>
        <w:tc>
          <w:tcPr>
            <w:tcW w:w="2034" w:type="dxa"/>
            <w:vMerge w:val="continue"/>
            <w:vAlign w:val="center"/>
          </w:tcPr>
          <w:p>
            <w:pPr>
              <w:spacing w:line="280" w:lineRule="exact"/>
              <w:rPr>
                <w:rFonts w:ascii="仿宋_GB2312" w:cs="黑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vAlign w:val="center"/>
          </w:tcPr>
          <w:p>
            <w:pPr>
              <w:spacing w:line="280" w:lineRule="exact"/>
              <w:ind w:firstLine="420"/>
              <w:rPr>
                <w:rFonts w:ascii="仿宋_GB2312" w:cs="黑体"/>
                <w:szCs w:val="18"/>
              </w:rPr>
            </w:pPr>
          </w:p>
        </w:tc>
        <w:tc>
          <w:tcPr>
            <w:tcW w:w="3750" w:type="dxa"/>
            <w:vAlign w:val="center"/>
          </w:tcPr>
          <w:p>
            <w:pPr>
              <w:spacing w:line="280" w:lineRule="exact"/>
              <w:rPr>
                <w:rFonts w:ascii="仿宋_GB2312" w:cs="黑体"/>
                <w:szCs w:val="18"/>
              </w:rPr>
            </w:pPr>
            <w:r>
              <w:rPr>
                <w:rFonts w:hint="eastAsia" w:ascii="仿宋_GB2312" w:cs="黑体"/>
                <w:szCs w:val="18"/>
              </w:rPr>
              <w:t>工作人员不在工作场所大声喧哗、嬉笑打闹，做到说话轻、操作轻；要嘴勤、眼勤、腿勤、手勤；工作期间不串岗、空岗，不扎堆聊天。</w:t>
            </w:r>
          </w:p>
        </w:tc>
        <w:tc>
          <w:tcPr>
            <w:tcW w:w="2425" w:type="dxa"/>
            <w:vAlign w:val="center"/>
          </w:tcPr>
          <w:p>
            <w:pPr>
              <w:spacing w:line="280" w:lineRule="exact"/>
              <w:rPr>
                <w:rFonts w:ascii="仿宋_GB2312" w:cs="黑体"/>
                <w:szCs w:val="18"/>
              </w:rPr>
            </w:pPr>
            <w:r>
              <w:rPr>
                <w:rFonts w:hint="eastAsia" w:ascii="仿宋_GB2312" w:cs="黑体"/>
                <w:szCs w:val="18"/>
              </w:rPr>
              <w:t>在工作场所大声喧哗、打闹嬉戏，或工作期间串岗、空岗被发现</w:t>
            </w:r>
            <w:r>
              <w:rPr>
                <w:rFonts w:ascii="仿宋_GB2312" w:cs="黑体"/>
                <w:szCs w:val="18"/>
              </w:rPr>
              <w:t>1</w:t>
            </w:r>
            <w:r>
              <w:rPr>
                <w:rFonts w:hint="eastAsia" w:ascii="仿宋_GB2312" w:cs="黑体"/>
                <w:szCs w:val="18"/>
              </w:rPr>
              <w:t>次</w:t>
            </w:r>
          </w:p>
        </w:tc>
        <w:tc>
          <w:tcPr>
            <w:tcW w:w="888" w:type="dxa"/>
            <w:vAlign w:val="center"/>
          </w:tcPr>
          <w:p>
            <w:pPr>
              <w:jc w:val="center"/>
              <w:rPr>
                <w:rFonts w:ascii="仿宋_GB2312"/>
                <w:szCs w:val="21"/>
              </w:rPr>
            </w:pPr>
            <w:r>
              <w:rPr>
                <w:rFonts w:hint="eastAsia" w:ascii="仿宋_GB2312"/>
                <w:szCs w:val="21"/>
              </w:rPr>
              <w:t>1</w:t>
            </w:r>
          </w:p>
        </w:tc>
        <w:tc>
          <w:tcPr>
            <w:tcW w:w="2034" w:type="dxa"/>
            <w:vMerge w:val="continue"/>
            <w:vAlign w:val="center"/>
          </w:tcPr>
          <w:p>
            <w:pPr>
              <w:spacing w:line="280" w:lineRule="exact"/>
              <w:rPr>
                <w:rFonts w:ascii="仿宋_GB2312" w:cs="黑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vAlign w:val="center"/>
          </w:tcPr>
          <w:p>
            <w:pPr>
              <w:spacing w:line="280" w:lineRule="exact"/>
              <w:rPr>
                <w:rFonts w:ascii="仿宋_GB2312" w:cs="黑体"/>
                <w:szCs w:val="18"/>
              </w:rPr>
            </w:pPr>
          </w:p>
        </w:tc>
        <w:tc>
          <w:tcPr>
            <w:tcW w:w="3750" w:type="dxa"/>
            <w:vAlign w:val="center"/>
          </w:tcPr>
          <w:p>
            <w:pPr>
              <w:spacing w:line="280" w:lineRule="exact"/>
              <w:rPr>
                <w:rFonts w:ascii="仿宋_GB2312" w:cs="黑体"/>
                <w:szCs w:val="18"/>
              </w:rPr>
            </w:pPr>
          </w:p>
          <w:p>
            <w:pPr>
              <w:spacing w:line="280" w:lineRule="exact"/>
              <w:rPr>
                <w:rFonts w:ascii="仿宋_GB2312" w:cs="黑体"/>
                <w:szCs w:val="18"/>
              </w:rPr>
            </w:pPr>
            <w:r>
              <w:rPr>
                <w:rFonts w:hint="eastAsia" w:ascii="仿宋_GB2312" w:cs="黑体"/>
                <w:szCs w:val="18"/>
              </w:rPr>
              <w:t>工作人员在工作中应用普通话交流，严禁粗话、脏话。服务人员在岗在位，按时上下班，不迟到早退。</w:t>
            </w:r>
          </w:p>
          <w:p>
            <w:pPr>
              <w:spacing w:line="280" w:lineRule="exact"/>
              <w:rPr>
                <w:rFonts w:ascii="仿宋_GB2312" w:cs="黑体"/>
                <w:szCs w:val="18"/>
              </w:rPr>
            </w:pPr>
          </w:p>
        </w:tc>
        <w:tc>
          <w:tcPr>
            <w:tcW w:w="2425" w:type="dxa"/>
            <w:vAlign w:val="center"/>
          </w:tcPr>
          <w:p>
            <w:pPr>
              <w:spacing w:line="280" w:lineRule="exact"/>
              <w:rPr>
                <w:rFonts w:ascii="仿宋_GB2312" w:cs="黑体"/>
                <w:szCs w:val="18"/>
              </w:rPr>
            </w:pPr>
            <w:r>
              <w:rPr>
                <w:rFonts w:hint="eastAsia" w:ascii="仿宋_GB2312" w:cs="黑体"/>
                <w:szCs w:val="18"/>
              </w:rPr>
              <w:t>因工作人员服务态度不好引起有效投诉</w:t>
            </w:r>
            <w:r>
              <w:rPr>
                <w:rFonts w:ascii="仿宋_GB2312" w:cs="黑体"/>
                <w:szCs w:val="18"/>
              </w:rPr>
              <w:t>1</w:t>
            </w:r>
            <w:r>
              <w:rPr>
                <w:rFonts w:hint="eastAsia" w:ascii="仿宋_GB2312" w:cs="黑体"/>
                <w:szCs w:val="18"/>
              </w:rPr>
              <w:t>次，且未得到妥善处理造成影响的。</w:t>
            </w:r>
          </w:p>
        </w:tc>
        <w:tc>
          <w:tcPr>
            <w:tcW w:w="888" w:type="dxa"/>
            <w:vAlign w:val="center"/>
          </w:tcPr>
          <w:p>
            <w:pPr>
              <w:jc w:val="center"/>
              <w:rPr>
                <w:rFonts w:ascii="仿宋_GB2312"/>
                <w:szCs w:val="21"/>
              </w:rPr>
            </w:pPr>
            <w:r>
              <w:rPr>
                <w:rFonts w:hint="eastAsia" w:ascii="仿宋_GB2312"/>
                <w:szCs w:val="21"/>
              </w:rPr>
              <w:t>1</w:t>
            </w:r>
          </w:p>
        </w:tc>
        <w:tc>
          <w:tcPr>
            <w:tcW w:w="2034" w:type="dxa"/>
            <w:vAlign w:val="center"/>
          </w:tcPr>
          <w:p>
            <w:pPr>
              <w:spacing w:line="280" w:lineRule="exact"/>
              <w:rPr>
                <w:rFonts w:ascii="仿宋_GB2312" w:cs="黑体"/>
                <w:szCs w:val="18"/>
              </w:rPr>
            </w:pPr>
            <w:r>
              <w:rPr>
                <w:rFonts w:hint="eastAsia" w:ascii="仿宋_GB2312" w:cs="黑体"/>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vAlign w:val="center"/>
          </w:tcPr>
          <w:p>
            <w:pPr>
              <w:spacing w:line="280" w:lineRule="exact"/>
              <w:rPr>
                <w:rFonts w:ascii="仿宋_GB2312" w:cs="黑体"/>
                <w:szCs w:val="18"/>
              </w:rPr>
            </w:pPr>
          </w:p>
        </w:tc>
        <w:tc>
          <w:tcPr>
            <w:tcW w:w="3750" w:type="dxa"/>
            <w:vAlign w:val="center"/>
          </w:tcPr>
          <w:p>
            <w:pPr>
              <w:spacing w:line="280" w:lineRule="exact"/>
              <w:ind w:firstLine="420"/>
              <w:rPr>
                <w:rFonts w:ascii="仿宋_GB2312" w:cs="黑体"/>
                <w:szCs w:val="18"/>
              </w:rPr>
            </w:pPr>
            <w:r>
              <w:rPr>
                <w:rFonts w:hint="eastAsia" w:ascii="仿宋_GB2312" w:cs="黑体"/>
                <w:szCs w:val="18"/>
              </w:rPr>
              <w:t>污水处理人员不得缺编</w:t>
            </w:r>
          </w:p>
        </w:tc>
        <w:tc>
          <w:tcPr>
            <w:tcW w:w="2425" w:type="dxa"/>
            <w:vAlign w:val="center"/>
          </w:tcPr>
          <w:p>
            <w:pPr>
              <w:spacing w:line="280" w:lineRule="exact"/>
              <w:rPr>
                <w:rFonts w:ascii="仿宋_GB2312" w:cs="黑体"/>
                <w:szCs w:val="18"/>
              </w:rPr>
            </w:pPr>
            <w:r>
              <w:rPr>
                <w:rFonts w:hint="eastAsia" w:ascii="仿宋_GB2312" w:cs="黑体"/>
                <w:szCs w:val="18"/>
              </w:rPr>
              <w:t>发现缺编岗位一天</w:t>
            </w:r>
          </w:p>
        </w:tc>
        <w:tc>
          <w:tcPr>
            <w:tcW w:w="888" w:type="dxa"/>
            <w:vAlign w:val="center"/>
          </w:tcPr>
          <w:p>
            <w:pPr>
              <w:jc w:val="center"/>
              <w:rPr>
                <w:rFonts w:ascii="仿宋_GB2312"/>
                <w:szCs w:val="21"/>
              </w:rPr>
            </w:pPr>
            <w:r>
              <w:rPr>
                <w:rFonts w:hint="eastAsia" w:ascii="仿宋_GB2312"/>
                <w:szCs w:val="21"/>
              </w:rPr>
              <w:t>2</w:t>
            </w:r>
          </w:p>
        </w:tc>
        <w:tc>
          <w:tcPr>
            <w:tcW w:w="2034" w:type="dxa"/>
            <w:vAlign w:val="center"/>
          </w:tcPr>
          <w:p>
            <w:pPr>
              <w:spacing w:line="280" w:lineRule="exact"/>
              <w:rPr>
                <w:rFonts w:ascii="仿宋_GB2312" w:cs="黑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vAlign w:val="center"/>
          </w:tcPr>
          <w:p>
            <w:pPr>
              <w:spacing w:line="280" w:lineRule="exact"/>
              <w:rPr>
                <w:rFonts w:ascii="仿宋_GB2312" w:cs="黑体"/>
                <w:szCs w:val="18"/>
              </w:rPr>
            </w:pPr>
          </w:p>
        </w:tc>
        <w:tc>
          <w:tcPr>
            <w:tcW w:w="3750" w:type="dxa"/>
            <w:vAlign w:val="center"/>
          </w:tcPr>
          <w:p>
            <w:pPr>
              <w:spacing w:line="280" w:lineRule="exact"/>
              <w:rPr>
                <w:rFonts w:ascii="仿宋_GB2312" w:cs="宋体"/>
                <w:szCs w:val="21"/>
              </w:rPr>
            </w:pPr>
            <w:r>
              <w:rPr>
                <w:rFonts w:hint="eastAsia" w:ascii="仿宋_GB2312" w:cs="黑体"/>
                <w:szCs w:val="18"/>
              </w:rPr>
              <w:t>污水处理人员不得破坏、损毁设施、花草树木；不得偷盗植物、设施、设备等；不得翻墙或采取其它不正当的手段进出。</w:t>
            </w:r>
          </w:p>
        </w:tc>
        <w:tc>
          <w:tcPr>
            <w:tcW w:w="2425" w:type="dxa"/>
            <w:vAlign w:val="center"/>
          </w:tcPr>
          <w:p>
            <w:pPr>
              <w:spacing w:line="280" w:lineRule="exact"/>
              <w:rPr>
                <w:rFonts w:ascii="仿宋_GB2312" w:cs="黑体"/>
                <w:szCs w:val="18"/>
              </w:rPr>
            </w:pPr>
            <w:r>
              <w:rPr>
                <w:rFonts w:hint="eastAsia" w:ascii="仿宋_GB2312" w:cs="黑体"/>
                <w:szCs w:val="18"/>
              </w:rPr>
              <w:t>违反规定</w:t>
            </w:r>
            <w:r>
              <w:rPr>
                <w:rFonts w:ascii="仿宋_GB2312" w:cs="黑体"/>
                <w:szCs w:val="18"/>
              </w:rPr>
              <w:t>1</w:t>
            </w:r>
            <w:r>
              <w:rPr>
                <w:rFonts w:hint="eastAsia" w:ascii="仿宋_GB2312" w:cs="黑体"/>
                <w:szCs w:val="18"/>
              </w:rPr>
              <w:t>次</w:t>
            </w:r>
          </w:p>
        </w:tc>
        <w:tc>
          <w:tcPr>
            <w:tcW w:w="888" w:type="dxa"/>
            <w:vAlign w:val="center"/>
          </w:tcPr>
          <w:p>
            <w:pPr>
              <w:jc w:val="center"/>
              <w:rPr>
                <w:rFonts w:ascii="仿宋_GB2312"/>
                <w:szCs w:val="21"/>
              </w:rPr>
            </w:pPr>
            <w:r>
              <w:rPr>
                <w:rFonts w:hint="eastAsia" w:ascii="仿宋_GB2312"/>
                <w:szCs w:val="21"/>
              </w:rPr>
              <w:t>3</w:t>
            </w:r>
          </w:p>
        </w:tc>
        <w:tc>
          <w:tcPr>
            <w:tcW w:w="2034" w:type="dxa"/>
            <w:vAlign w:val="center"/>
          </w:tcPr>
          <w:p>
            <w:pPr>
              <w:spacing w:line="280" w:lineRule="exact"/>
              <w:rPr>
                <w:rFonts w:ascii="仿宋_GB2312" w:cs="黑体"/>
                <w:szCs w:val="18"/>
              </w:rPr>
            </w:pPr>
            <w:r>
              <w:rPr>
                <w:rFonts w:hint="eastAsia" w:ascii="仿宋_GB2312" w:cs="黑体"/>
                <w:szCs w:val="18"/>
              </w:rPr>
              <w:t>如造成损失，承担相应的赔偿责任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Align w:val="center"/>
          </w:tcPr>
          <w:p>
            <w:pPr>
              <w:spacing w:line="280" w:lineRule="exact"/>
              <w:rPr>
                <w:rFonts w:ascii="仿宋_GB2312" w:cs="黑体"/>
                <w:szCs w:val="18"/>
              </w:rPr>
            </w:pPr>
            <w:r>
              <w:rPr>
                <w:rFonts w:hint="eastAsia" w:ascii="仿宋_GB2312" w:cs="黑体"/>
                <w:szCs w:val="18"/>
              </w:rPr>
              <w:t>应急事件处理</w:t>
            </w:r>
          </w:p>
        </w:tc>
        <w:tc>
          <w:tcPr>
            <w:tcW w:w="3750" w:type="dxa"/>
            <w:vAlign w:val="center"/>
          </w:tcPr>
          <w:p>
            <w:pPr>
              <w:spacing w:line="280" w:lineRule="exact"/>
              <w:rPr>
                <w:rFonts w:ascii="仿宋_GB2312" w:cs="黑体"/>
                <w:szCs w:val="18"/>
              </w:rPr>
            </w:pPr>
            <w:r>
              <w:rPr>
                <w:rFonts w:hint="eastAsia" w:ascii="仿宋_GB2312" w:cs="黑体"/>
                <w:szCs w:val="18"/>
              </w:rPr>
              <w:t>如遇紧急、迎检等情况，应全力配合采购方开展工作。</w:t>
            </w:r>
          </w:p>
        </w:tc>
        <w:tc>
          <w:tcPr>
            <w:tcW w:w="2425" w:type="dxa"/>
            <w:vAlign w:val="center"/>
          </w:tcPr>
          <w:p>
            <w:pPr>
              <w:spacing w:line="280" w:lineRule="exact"/>
              <w:rPr>
                <w:rFonts w:ascii="仿宋_GB2312" w:cs="黑体"/>
                <w:szCs w:val="18"/>
              </w:rPr>
            </w:pPr>
            <w:r>
              <w:rPr>
                <w:rFonts w:hint="eastAsia" w:ascii="仿宋_GB2312" w:cs="黑体"/>
                <w:szCs w:val="18"/>
              </w:rPr>
              <w:t>违反规定</w:t>
            </w:r>
            <w:r>
              <w:rPr>
                <w:rFonts w:ascii="仿宋_GB2312" w:cs="黑体"/>
                <w:szCs w:val="18"/>
              </w:rPr>
              <w:t>1</w:t>
            </w:r>
            <w:r>
              <w:rPr>
                <w:rFonts w:hint="eastAsia" w:ascii="仿宋_GB2312" w:cs="黑体"/>
                <w:szCs w:val="18"/>
              </w:rPr>
              <w:t>次</w:t>
            </w:r>
          </w:p>
        </w:tc>
        <w:tc>
          <w:tcPr>
            <w:tcW w:w="888" w:type="dxa"/>
            <w:vAlign w:val="center"/>
          </w:tcPr>
          <w:p>
            <w:pPr>
              <w:jc w:val="center"/>
              <w:rPr>
                <w:rFonts w:ascii="仿宋_GB2312"/>
                <w:szCs w:val="21"/>
              </w:rPr>
            </w:pPr>
            <w:r>
              <w:rPr>
                <w:rFonts w:hint="eastAsia" w:ascii="仿宋_GB2312"/>
                <w:szCs w:val="21"/>
              </w:rPr>
              <w:t>5</w:t>
            </w:r>
          </w:p>
        </w:tc>
        <w:tc>
          <w:tcPr>
            <w:tcW w:w="2034" w:type="dxa"/>
            <w:vAlign w:val="center"/>
          </w:tcPr>
          <w:p>
            <w:pPr>
              <w:spacing w:line="280" w:lineRule="exact"/>
              <w:rPr>
                <w:rFonts w:ascii="仿宋_GB2312" w:cs="黑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restart"/>
            <w:vAlign w:val="center"/>
          </w:tcPr>
          <w:p>
            <w:pPr>
              <w:spacing w:line="280" w:lineRule="exact"/>
              <w:rPr>
                <w:rFonts w:ascii="仿宋_GB2312" w:cs="黑体"/>
                <w:szCs w:val="18"/>
              </w:rPr>
            </w:pPr>
          </w:p>
          <w:p>
            <w:pPr>
              <w:spacing w:line="280" w:lineRule="exact"/>
              <w:rPr>
                <w:rFonts w:ascii="仿宋_GB2312" w:cs="黑体"/>
                <w:szCs w:val="18"/>
              </w:rPr>
            </w:pPr>
            <w:r>
              <w:rPr>
                <w:rFonts w:hint="eastAsia" w:ascii="仿宋_GB2312" w:cs="黑体"/>
                <w:szCs w:val="18"/>
              </w:rPr>
              <w:t>投诉及曝光</w:t>
            </w:r>
          </w:p>
        </w:tc>
        <w:tc>
          <w:tcPr>
            <w:tcW w:w="3750" w:type="dxa"/>
            <w:vMerge w:val="restart"/>
            <w:vAlign w:val="center"/>
          </w:tcPr>
          <w:p>
            <w:pPr>
              <w:spacing w:line="280" w:lineRule="exact"/>
              <w:rPr>
                <w:rFonts w:ascii="仿宋_GB2312" w:cs="黑体"/>
                <w:szCs w:val="18"/>
              </w:rPr>
            </w:pPr>
            <w:r>
              <w:rPr>
                <w:rFonts w:hint="eastAsia" w:ascii="仿宋_GB2312" w:cs="黑体"/>
                <w:szCs w:val="18"/>
              </w:rPr>
              <w:t>因污水处理承包公司管理问题造成污水处理、管理被媒体曝光</w:t>
            </w:r>
          </w:p>
        </w:tc>
        <w:tc>
          <w:tcPr>
            <w:tcW w:w="2425" w:type="dxa"/>
            <w:vAlign w:val="center"/>
          </w:tcPr>
          <w:p>
            <w:pPr>
              <w:spacing w:line="280" w:lineRule="exact"/>
              <w:rPr>
                <w:rFonts w:ascii="仿宋_GB2312" w:cs="黑体"/>
                <w:szCs w:val="18"/>
              </w:rPr>
            </w:pPr>
            <w:r>
              <w:rPr>
                <w:rFonts w:hint="eastAsia" w:ascii="仿宋_GB2312" w:cs="黑体"/>
                <w:szCs w:val="18"/>
              </w:rPr>
              <w:t>因污水处理承包公司管理问题造成污水处理管理质量低下，被有效投诉</w:t>
            </w:r>
            <w:r>
              <w:rPr>
                <w:rFonts w:ascii="仿宋_GB2312" w:cs="黑体"/>
                <w:szCs w:val="18"/>
              </w:rPr>
              <w:t>1</w:t>
            </w:r>
            <w:r>
              <w:rPr>
                <w:rFonts w:hint="eastAsia" w:ascii="仿宋_GB2312" w:cs="黑体"/>
                <w:szCs w:val="18"/>
              </w:rPr>
              <w:t>次</w:t>
            </w:r>
          </w:p>
        </w:tc>
        <w:tc>
          <w:tcPr>
            <w:tcW w:w="888" w:type="dxa"/>
            <w:vAlign w:val="center"/>
          </w:tcPr>
          <w:p>
            <w:pPr>
              <w:jc w:val="center"/>
              <w:rPr>
                <w:rFonts w:ascii="仿宋_GB2312"/>
                <w:szCs w:val="21"/>
              </w:rPr>
            </w:pPr>
            <w:r>
              <w:rPr>
                <w:rFonts w:hint="eastAsia" w:ascii="仿宋_GB2312"/>
                <w:szCs w:val="21"/>
              </w:rPr>
              <w:t>5</w:t>
            </w:r>
          </w:p>
        </w:tc>
        <w:tc>
          <w:tcPr>
            <w:tcW w:w="2034" w:type="dxa"/>
            <w:vAlign w:val="center"/>
          </w:tcPr>
          <w:p>
            <w:pPr>
              <w:spacing w:line="280" w:lineRule="exact"/>
              <w:rPr>
                <w:rFonts w:ascii="仿宋_GB2312" w:cs="黑体"/>
                <w:szCs w:val="18"/>
              </w:rPr>
            </w:pPr>
            <w:r>
              <w:rPr>
                <w:rFonts w:hint="eastAsia" w:ascii="仿宋_GB2312" w:cs="黑体"/>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vAlign w:val="center"/>
          </w:tcPr>
          <w:p>
            <w:pPr>
              <w:spacing w:line="280" w:lineRule="exact"/>
              <w:rPr>
                <w:rFonts w:ascii="仿宋_GB2312" w:cs="黑体"/>
                <w:szCs w:val="18"/>
              </w:rPr>
            </w:pPr>
          </w:p>
        </w:tc>
        <w:tc>
          <w:tcPr>
            <w:tcW w:w="3750" w:type="dxa"/>
            <w:vMerge w:val="continue"/>
            <w:vAlign w:val="center"/>
          </w:tcPr>
          <w:p>
            <w:pPr>
              <w:spacing w:line="280" w:lineRule="exact"/>
              <w:rPr>
                <w:rFonts w:ascii="仿宋_GB2312" w:cs="黑体"/>
                <w:szCs w:val="18"/>
              </w:rPr>
            </w:pPr>
          </w:p>
        </w:tc>
        <w:tc>
          <w:tcPr>
            <w:tcW w:w="2425" w:type="dxa"/>
            <w:vAlign w:val="center"/>
          </w:tcPr>
          <w:p>
            <w:pPr>
              <w:spacing w:line="280" w:lineRule="exact"/>
              <w:rPr>
                <w:rFonts w:ascii="仿宋_GB2312" w:cs="黑体"/>
                <w:szCs w:val="18"/>
              </w:rPr>
            </w:pPr>
            <w:r>
              <w:rPr>
                <w:rFonts w:hint="eastAsia" w:ascii="仿宋_GB2312" w:cs="黑体"/>
                <w:szCs w:val="18"/>
              </w:rPr>
              <w:t>因污水处理承包公司管理问题被相关部门口头批评或书面通报</w:t>
            </w:r>
            <w:r>
              <w:rPr>
                <w:rFonts w:ascii="仿宋_GB2312" w:cs="黑体"/>
                <w:szCs w:val="18"/>
              </w:rPr>
              <w:t>1</w:t>
            </w:r>
            <w:r>
              <w:rPr>
                <w:rFonts w:hint="eastAsia" w:ascii="仿宋_GB2312" w:cs="黑体"/>
                <w:szCs w:val="18"/>
              </w:rPr>
              <w:t>次</w:t>
            </w:r>
          </w:p>
        </w:tc>
        <w:tc>
          <w:tcPr>
            <w:tcW w:w="888" w:type="dxa"/>
            <w:vAlign w:val="center"/>
          </w:tcPr>
          <w:p>
            <w:pPr>
              <w:spacing w:line="280" w:lineRule="exact"/>
              <w:jc w:val="center"/>
              <w:rPr>
                <w:rFonts w:ascii="仿宋_GB2312" w:cs="黑体"/>
                <w:szCs w:val="18"/>
              </w:rPr>
            </w:pPr>
            <w:r>
              <w:rPr>
                <w:rFonts w:hint="eastAsia" w:ascii="仿宋_GB2312" w:cs="黑体"/>
                <w:szCs w:val="18"/>
              </w:rPr>
              <w:t>10-20</w:t>
            </w:r>
          </w:p>
        </w:tc>
        <w:tc>
          <w:tcPr>
            <w:tcW w:w="2034" w:type="dxa"/>
            <w:vAlign w:val="center"/>
          </w:tcPr>
          <w:p>
            <w:pPr>
              <w:spacing w:line="280" w:lineRule="exact"/>
              <w:rPr>
                <w:rFonts w:ascii="仿宋_GB2312" w:cs="黑体"/>
                <w:szCs w:val="18"/>
              </w:rPr>
            </w:pPr>
            <w:r>
              <w:rPr>
                <w:rFonts w:hint="eastAsia" w:ascii="仿宋_GB2312" w:cs="黑体"/>
                <w:szCs w:val="18"/>
              </w:rPr>
              <w:t>一年内发生2次及以上，甲方有权终止合同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vAlign w:val="center"/>
          </w:tcPr>
          <w:p>
            <w:pPr>
              <w:spacing w:line="280" w:lineRule="exact"/>
              <w:rPr>
                <w:rFonts w:ascii="仿宋_GB2312" w:cs="黑体"/>
                <w:szCs w:val="18"/>
              </w:rPr>
            </w:pPr>
          </w:p>
        </w:tc>
        <w:tc>
          <w:tcPr>
            <w:tcW w:w="3750" w:type="dxa"/>
            <w:vMerge w:val="continue"/>
            <w:vAlign w:val="center"/>
          </w:tcPr>
          <w:p>
            <w:pPr>
              <w:spacing w:line="280" w:lineRule="exact"/>
              <w:rPr>
                <w:rFonts w:ascii="仿宋_GB2312" w:cs="黑体"/>
                <w:szCs w:val="18"/>
              </w:rPr>
            </w:pPr>
          </w:p>
        </w:tc>
        <w:tc>
          <w:tcPr>
            <w:tcW w:w="2425" w:type="dxa"/>
            <w:vAlign w:val="center"/>
          </w:tcPr>
          <w:p>
            <w:pPr>
              <w:spacing w:line="280" w:lineRule="exact"/>
              <w:rPr>
                <w:rFonts w:ascii="仿宋_GB2312" w:cs="黑体"/>
                <w:szCs w:val="18"/>
              </w:rPr>
            </w:pPr>
            <w:r>
              <w:rPr>
                <w:rFonts w:hint="eastAsia" w:ascii="仿宋_GB2312" w:cs="黑体"/>
                <w:szCs w:val="18"/>
              </w:rPr>
              <w:t>因污水处理承包公司管理问题造成污水处理、管理被区县媒体曝光</w:t>
            </w:r>
            <w:r>
              <w:rPr>
                <w:rFonts w:ascii="仿宋_GB2312" w:cs="黑体"/>
                <w:szCs w:val="18"/>
              </w:rPr>
              <w:t>1</w:t>
            </w:r>
            <w:r>
              <w:rPr>
                <w:rFonts w:hint="eastAsia" w:ascii="仿宋_GB2312" w:cs="黑体"/>
                <w:szCs w:val="18"/>
              </w:rPr>
              <w:t>次</w:t>
            </w:r>
          </w:p>
        </w:tc>
        <w:tc>
          <w:tcPr>
            <w:tcW w:w="888" w:type="dxa"/>
            <w:vAlign w:val="center"/>
          </w:tcPr>
          <w:p>
            <w:pPr>
              <w:spacing w:line="280" w:lineRule="exact"/>
              <w:jc w:val="center"/>
              <w:rPr>
                <w:rFonts w:ascii="仿宋_GB2312" w:cs="黑体"/>
                <w:szCs w:val="18"/>
              </w:rPr>
            </w:pPr>
            <w:r>
              <w:rPr>
                <w:rFonts w:hint="eastAsia" w:ascii="仿宋_GB2312" w:cs="黑体"/>
                <w:szCs w:val="18"/>
              </w:rPr>
              <w:t>10-20</w:t>
            </w:r>
          </w:p>
        </w:tc>
        <w:tc>
          <w:tcPr>
            <w:tcW w:w="2034" w:type="dxa"/>
            <w:vAlign w:val="center"/>
          </w:tcPr>
          <w:p>
            <w:pPr>
              <w:spacing w:line="280" w:lineRule="exact"/>
              <w:rPr>
                <w:rFonts w:ascii="仿宋_GB2312" w:cs="黑体"/>
                <w:szCs w:val="18"/>
              </w:rPr>
            </w:pPr>
            <w:r>
              <w:rPr>
                <w:rFonts w:hint="eastAsia" w:ascii="仿宋_GB2312" w:cs="黑体"/>
                <w:szCs w:val="18"/>
              </w:rPr>
              <w:t>一年内发生2次及以上，甲方有权终止合同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vAlign w:val="center"/>
          </w:tcPr>
          <w:p>
            <w:pPr>
              <w:spacing w:line="280" w:lineRule="exact"/>
              <w:rPr>
                <w:rFonts w:ascii="仿宋_GB2312" w:cs="黑体"/>
                <w:szCs w:val="18"/>
              </w:rPr>
            </w:pPr>
          </w:p>
        </w:tc>
        <w:tc>
          <w:tcPr>
            <w:tcW w:w="3750" w:type="dxa"/>
            <w:vMerge w:val="continue"/>
            <w:vAlign w:val="center"/>
          </w:tcPr>
          <w:p>
            <w:pPr>
              <w:spacing w:line="280" w:lineRule="exact"/>
              <w:rPr>
                <w:rFonts w:ascii="仿宋_GB2312" w:cs="黑体"/>
                <w:szCs w:val="18"/>
              </w:rPr>
            </w:pPr>
          </w:p>
        </w:tc>
        <w:tc>
          <w:tcPr>
            <w:tcW w:w="2425" w:type="dxa"/>
            <w:vAlign w:val="center"/>
          </w:tcPr>
          <w:p>
            <w:pPr>
              <w:spacing w:line="280" w:lineRule="exact"/>
              <w:rPr>
                <w:rFonts w:ascii="仿宋_GB2312" w:cs="黑体"/>
                <w:szCs w:val="18"/>
              </w:rPr>
            </w:pPr>
            <w:r>
              <w:rPr>
                <w:rFonts w:hint="eastAsia" w:ascii="仿宋_GB2312" w:cs="黑体"/>
                <w:szCs w:val="18"/>
              </w:rPr>
              <w:t>因污水处理承包公司管理问题造成污水处理、管理被市级媒体曝光</w:t>
            </w:r>
            <w:r>
              <w:rPr>
                <w:rFonts w:ascii="仿宋_GB2312" w:cs="黑体"/>
                <w:szCs w:val="18"/>
              </w:rPr>
              <w:t>1</w:t>
            </w:r>
            <w:r>
              <w:rPr>
                <w:rFonts w:hint="eastAsia" w:ascii="仿宋_GB2312" w:cs="黑体"/>
                <w:szCs w:val="18"/>
              </w:rPr>
              <w:t>次</w:t>
            </w:r>
          </w:p>
        </w:tc>
        <w:tc>
          <w:tcPr>
            <w:tcW w:w="888" w:type="dxa"/>
            <w:vAlign w:val="center"/>
          </w:tcPr>
          <w:p>
            <w:pPr>
              <w:spacing w:line="280" w:lineRule="exact"/>
              <w:jc w:val="center"/>
              <w:rPr>
                <w:rFonts w:ascii="仿宋_GB2312" w:cs="黑体"/>
                <w:szCs w:val="18"/>
              </w:rPr>
            </w:pPr>
            <w:r>
              <w:rPr>
                <w:rFonts w:hint="eastAsia" w:ascii="仿宋_GB2312" w:cs="黑体"/>
                <w:szCs w:val="18"/>
              </w:rPr>
              <w:t>10-30</w:t>
            </w:r>
          </w:p>
        </w:tc>
        <w:tc>
          <w:tcPr>
            <w:tcW w:w="2034" w:type="dxa"/>
            <w:vAlign w:val="center"/>
          </w:tcPr>
          <w:p>
            <w:pPr>
              <w:spacing w:line="280" w:lineRule="exact"/>
              <w:rPr>
                <w:rFonts w:ascii="仿宋_GB2312" w:cs="黑体"/>
                <w:szCs w:val="18"/>
              </w:rPr>
            </w:pPr>
            <w:r>
              <w:rPr>
                <w:rFonts w:hint="eastAsia" w:ascii="仿宋_GB2312" w:cs="黑体"/>
                <w:szCs w:val="18"/>
              </w:rPr>
              <w:t>一年内发生1次及以上，甲方有权终止合同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Align w:val="center"/>
          </w:tcPr>
          <w:p>
            <w:pPr>
              <w:spacing w:line="280" w:lineRule="exact"/>
              <w:rPr>
                <w:rFonts w:ascii="仿宋_GB2312" w:cs="黑体"/>
                <w:szCs w:val="18"/>
              </w:rPr>
            </w:pPr>
            <w:r>
              <w:rPr>
                <w:rFonts w:hint="eastAsia" w:ascii="仿宋_GB2312" w:cs="黑体"/>
                <w:szCs w:val="18"/>
              </w:rPr>
              <w:t>节约水电</w:t>
            </w:r>
          </w:p>
        </w:tc>
        <w:tc>
          <w:tcPr>
            <w:tcW w:w="3750" w:type="dxa"/>
            <w:vAlign w:val="center"/>
          </w:tcPr>
          <w:p>
            <w:pPr>
              <w:spacing w:line="280" w:lineRule="exact"/>
              <w:rPr>
                <w:rFonts w:ascii="仿宋_GB2312" w:cs="黑体"/>
                <w:szCs w:val="18"/>
              </w:rPr>
            </w:pPr>
            <w:r>
              <w:rPr>
                <w:rFonts w:hint="eastAsia" w:ascii="仿宋_GB2312" w:cs="黑体"/>
                <w:szCs w:val="18"/>
              </w:rPr>
              <w:t>污水处理人员在使用水电的时候必须做到节约用水、用电，做到人走灯灭，不使用器具时关闭电源和用水。</w:t>
            </w:r>
          </w:p>
        </w:tc>
        <w:tc>
          <w:tcPr>
            <w:tcW w:w="2425" w:type="dxa"/>
            <w:vAlign w:val="center"/>
          </w:tcPr>
          <w:p>
            <w:pPr>
              <w:spacing w:line="280" w:lineRule="exact"/>
              <w:rPr>
                <w:rFonts w:ascii="仿宋_GB2312" w:cs="黑体"/>
                <w:szCs w:val="18"/>
              </w:rPr>
            </w:pPr>
            <w:r>
              <w:rPr>
                <w:rFonts w:hint="eastAsia" w:ascii="仿宋_GB2312" w:cs="黑体"/>
                <w:szCs w:val="18"/>
              </w:rPr>
              <w:t>发现浪费水或电</w:t>
            </w:r>
            <w:r>
              <w:rPr>
                <w:rFonts w:ascii="仿宋_GB2312" w:cs="黑体"/>
                <w:szCs w:val="18"/>
              </w:rPr>
              <w:t>1</w:t>
            </w:r>
            <w:r>
              <w:rPr>
                <w:rFonts w:hint="eastAsia" w:ascii="仿宋_GB2312" w:cs="黑体"/>
                <w:szCs w:val="18"/>
              </w:rPr>
              <w:t>次</w:t>
            </w:r>
          </w:p>
        </w:tc>
        <w:tc>
          <w:tcPr>
            <w:tcW w:w="888" w:type="dxa"/>
            <w:vAlign w:val="center"/>
          </w:tcPr>
          <w:p>
            <w:pPr>
              <w:spacing w:line="280" w:lineRule="exact"/>
              <w:jc w:val="center"/>
              <w:rPr>
                <w:rFonts w:ascii="仿宋_GB2312" w:cs="黑体"/>
                <w:szCs w:val="18"/>
              </w:rPr>
            </w:pPr>
            <w:r>
              <w:rPr>
                <w:rFonts w:hint="eastAsia" w:ascii="仿宋_GB2312" w:cs="黑体"/>
                <w:szCs w:val="18"/>
              </w:rPr>
              <w:t>2</w:t>
            </w:r>
          </w:p>
        </w:tc>
        <w:tc>
          <w:tcPr>
            <w:tcW w:w="2034" w:type="dxa"/>
            <w:vAlign w:val="center"/>
          </w:tcPr>
          <w:p>
            <w:pPr>
              <w:spacing w:line="280" w:lineRule="exact"/>
              <w:rPr>
                <w:rFonts w:ascii="仿宋_GB2312" w:cs="黑体"/>
                <w:szCs w:val="18"/>
              </w:rPr>
            </w:pPr>
            <w:r>
              <w:rPr>
                <w:rFonts w:hint="eastAsia" w:ascii="仿宋_GB2312" w:cs="黑体"/>
                <w:szCs w:val="18"/>
              </w:rPr>
              <w:t>如造成损失，乙方承担相应的赔偿责任　</w:t>
            </w:r>
          </w:p>
        </w:tc>
      </w:tr>
    </w:tbl>
    <w:p>
      <w:pPr>
        <w:ind w:firstLine="562"/>
      </w:pPr>
      <w:r>
        <w:rPr>
          <w:rFonts w:hint="eastAsia" w:ascii="黑体" w:hAnsi="黑体" w:eastAsia="黑体"/>
          <w:b/>
          <w:kern w:val="0"/>
          <w:sz w:val="28"/>
          <w:szCs w:val="28"/>
        </w:rPr>
        <w:t>2.考核分值</w:t>
      </w:r>
    </w:p>
    <w:p>
      <w:pPr>
        <w:ind w:firstLine="480"/>
      </w:pPr>
      <w:r>
        <w:rPr>
          <w:rFonts w:hint="eastAsia"/>
        </w:rPr>
        <w:t>执行合同情况的监督检查实行扣分制：每月考核标准扣分数合计在10分以内的为合格，考核标准扣分数合计在10—19分的扣项目承包单位2000元承包经费，20—29分的扣项目承包单位5000元承包经费，30分以上或累计3月扣分在20-29分的扣完当月全部污水处理承包费，并有权解除合同。</w:t>
      </w:r>
    </w:p>
    <w:p>
      <w:pPr>
        <w:ind w:firstLine="480"/>
      </w:pPr>
      <w:r>
        <w:rPr>
          <w:rFonts w:hint="eastAsia"/>
        </w:rPr>
        <w:t>（一）每月不定期对医院污水处理、污水在线监测运营外包项目进行检查，对有质量的地方以现场照片作依据通知服务商，并将检查情况汇总报分管领导，按检查结果</w:t>
      </w:r>
      <w:r>
        <w:rPr>
          <w:rFonts w:hint="eastAsia" w:cs="宋体"/>
          <w:kern w:val="0"/>
        </w:rPr>
        <w:t>扣除当月考核罚款数再拨付给服务商。</w:t>
      </w:r>
      <w:r>
        <w:rPr>
          <w:rFonts w:hint="eastAsia"/>
        </w:rPr>
        <w:t xml:space="preserve">                 </w:t>
      </w:r>
    </w:p>
    <w:p>
      <w:pPr>
        <w:ind w:firstLine="480"/>
      </w:pPr>
      <w:r>
        <w:rPr>
          <w:rFonts w:hint="eastAsia"/>
        </w:rPr>
        <w:t>（二）合同终止事由</w:t>
      </w:r>
    </w:p>
    <w:p>
      <w:pPr>
        <w:ind w:firstLine="480"/>
      </w:pPr>
      <w:r>
        <w:rPr>
          <w:rFonts w:hint="eastAsia"/>
        </w:rPr>
        <w:t>1、违反管理规定，造成重大伤亡或重大损失；</w:t>
      </w:r>
    </w:p>
    <w:p>
      <w:pPr>
        <w:ind w:firstLine="480"/>
      </w:pPr>
      <w:r>
        <w:rPr>
          <w:rFonts w:hint="eastAsia"/>
        </w:rPr>
        <w:t>2、因管理不善造成恶劣影响；</w:t>
      </w:r>
    </w:p>
    <w:p>
      <w:pPr>
        <w:ind w:firstLine="480"/>
      </w:pPr>
      <w:r>
        <w:rPr>
          <w:rFonts w:hint="eastAsia"/>
        </w:rPr>
        <w:t>3、擅自将合同转包、分包给第三者；</w:t>
      </w:r>
    </w:p>
    <w:p>
      <w:pPr>
        <w:ind w:firstLine="480"/>
      </w:pPr>
      <w:r>
        <w:rPr>
          <w:rFonts w:hint="eastAsia"/>
        </w:rPr>
        <w:t>4、违反劳动法或其他相关法规，造成恶劣影响；</w:t>
      </w:r>
    </w:p>
    <w:p>
      <w:pPr>
        <w:ind w:firstLine="480"/>
      </w:pPr>
      <w:r>
        <w:rPr>
          <w:rFonts w:hint="eastAsia"/>
        </w:rPr>
        <w:t>5、有弄虚作假及其不正当行为；</w:t>
      </w:r>
    </w:p>
    <w:p>
      <w:pPr>
        <w:ind w:firstLine="480"/>
      </w:pPr>
      <w:r>
        <w:rPr>
          <w:rFonts w:hint="eastAsia"/>
        </w:rPr>
        <w:t>6、在重大接待、突发事件处置工作中不力造成恶劣影响；</w:t>
      </w:r>
    </w:p>
    <w:p>
      <w:pPr>
        <w:pStyle w:val="3"/>
        <w:spacing w:before="0" w:after="0" w:line="560" w:lineRule="exact"/>
        <w:jc w:val="center"/>
        <w:rPr>
          <w:rFonts w:ascii="黑体" w:hAnsi="黑体"/>
          <w:b w:val="0"/>
          <w:color w:val="000000" w:themeColor="text1"/>
        </w:rPr>
      </w:pPr>
      <w:r>
        <w:rPr>
          <w:rFonts w:hint="eastAsia" w:ascii="黑体" w:hAnsi="黑体"/>
          <w:b w:val="0"/>
          <w:color w:val="000000" w:themeColor="text1"/>
        </w:rPr>
        <w:t xml:space="preserve">第五篇  </w:t>
      </w:r>
      <w:bookmarkEnd w:id="49"/>
      <w:bookmarkEnd w:id="50"/>
      <w:r>
        <w:rPr>
          <w:rFonts w:hint="eastAsia" w:ascii="黑体" w:hAnsi="黑体"/>
          <w:b w:val="0"/>
          <w:color w:val="000000" w:themeColor="text1"/>
        </w:rPr>
        <w:t>合同草案条款</w:t>
      </w:r>
      <w:bookmarkEnd w:id="51"/>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一、定义</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（一）甲方（需方）即采购人，是指通过竞争性磋商采购，接受合同货物及服务的各级国家机关、事业单位和团体组织。</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（二）乙方（供方）即成交供应商，是指成交后提供合同货物和服务的自然人、法人及其他组织。</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（三）合同是指由甲乙双方按照竞争性磋商文件和响应文件的实质性内容，通过协商一致达成的书面协议。</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（四）合同价格指以成交价格为依据，在供方全面履行合同义务后，需方（或财政部门）应支付给供方的金额。</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（五）技术资料是指合同货物及其相关的设计、制造、监造、检验、验收等文件（包括图纸、各种文字说明、标准）。</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二、货物内容</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合同包括以下内容：货物名称、型号规格、技术参数、数量（单位）等内容。</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三、合同价格</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（一）合同价格即合同总价。</w:t>
      </w:r>
    </w:p>
    <w:p>
      <w:pPr>
        <w:snapToGrid w:val="0"/>
        <w:spacing w:line="380" w:lineRule="exact"/>
        <w:ind w:firstLine="420" w:firstLineChars="150"/>
        <w:outlineLvl w:val="0"/>
        <w:rPr>
          <w:rFonts w:ascii="方正仿宋_GBK" w:hAnsi="宋体" w:eastAsia="方正仿宋_GBK"/>
          <w:bCs/>
          <w:sz w:val="24"/>
        </w:rPr>
      </w:pPr>
      <w:r>
        <w:rPr>
          <w:rFonts w:hint="eastAsia" w:ascii="方正仿宋_GBK" w:hAnsi="宋体" w:eastAsia="方正仿宋_GBK"/>
          <w:bCs/>
          <w:color w:val="000000" w:themeColor="text1"/>
          <w:sz w:val="28"/>
          <w:szCs w:val="28"/>
        </w:rPr>
        <w:t>（二）</w:t>
      </w:r>
      <w:r>
        <w:rPr>
          <w:rFonts w:hint="eastAsia" w:ascii="方正仿宋_GBK" w:hAnsi="宋体" w:eastAsia="方正仿宋_GBK"/>
          <w:bCs/>
          <w:sz w:val="24"/>
        </w:rPr>
        <w:t>合</w:t>
      </w:r>
      <w:r>
        <w:rPr>
          <w:rFonts w:hint="eastAsia" w:ascii="方正仿宋_GBK" w:hAnsi="宋体" w:eastAsia="方正仿宋_GBK"/>
          <w:bCs/>
          <w:color w:val="000000" w:themeColor="text1"/>
          <w:sz w:val="28"/>
          <w:szCs w:val="28"/>
        </w:rPr>
        <w:t>同价格包括合同货物、技术资料、合同货物的税费、运杂费、保险费、包装费、装卸费及与货物有关的供方应纳的税费，所有税费由乙方负担。</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（三）合同货物单价为不变价。</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四、转包或分包</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（一）本合同范围的货物，应由乙方直接供应，不得转让他人供应；</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（二）非经甲方书面同意，乙方不得将本合同范围的货物全部或部分分包给他人供应；</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（三）如有转让和未经甲方同意的分包行为，甲方有权解除合同，没收履约保证金并追究乙方的违约责任。</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五、质量保证及售后服务</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（一）乙方应按竞争性磋商文件规定的货物性能、技术要求、质量标准向甲方提供未经使用的全新产品。</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（二）乙方提供的货物在质保期内因货物本身的质量问题发生故障，乙方应负责免费更换。对达不到技术要求者，根据实际情况，经双方协商，可按以下办法处理：</w:t>
      </w:r>
    </w:p>
    <w:p>
      <w:pPr>
        <w:snapToGrid w:val="0"/>
        <w:spacing w:line="560" w:lineRule="exact"/>
        <w:ind w:firstLine="560" w:firstLineChars="20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1.更换：由乙方承担所发生的全部费用。</w:t>
      </w:r>
    </w:p>
    <w:p>
      <w:pPr>
        <w:snapToGrid w:val="0"/>
        <w:spacing w:line="560" w:lineRule="exact"/>
        <w:ind w:firstLine="560" w:firstLineChars="20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2.贬值处理：由甲乙双方合议定价。</w:t>
      </w:r>
    </w:p>
    <w:p>
      <w:pPr>
        <w:snapToGrid w:val="0"/>
        <w:spacing w:line="560" w:lineRule="exact"/>
        <w:ind w:firstLine="560" w:firstLineChars="20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3.退货处理：乙方应退还甲方支付的合同款，同时应承担该货物的直接费用（运输、保险、检验、货款利息及银行手续费等）。</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（三）如在使用过程中发生质量问题，乙方应同本项目“第四篇 磋商项目服务需求”对质量保证及售后服务内容的约定。</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（四）在质保期内，乙方应对货物出现的质量及安全问题负责处理解决并承担一切费用。</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六、付款</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（一）本合同使用货币币制如未作特别说明均为人民币。</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（二）付款方式：银行转账、现金支票。</w:t>
      </w:r>
    </w:p>
    <w:p>
      <w:pPr>
        <w:snapToGrid w:val="0"/>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（三）付款方法：同本项目“第三篇  磋商项目技术需求”中关于付款方式的约定。</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七、检查验收</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（一）供方应随货物提供合格证和质量证明文件，如是国外进口的货物还须提供入关证明。</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（二）货物验收</w:t>
      </w:r>
    </w:p>
    <w:p>
      <w:pPr>
        <w:adjustRightInd w:val="0"/>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（三）货物验收报告应由需方、供方经办人签字，并加盖双方公章，以此作为支付凭据。</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八、索赔</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供方对货物与合同要求不符负有责任，并且需方已于规定交货内和质量保证期内提出索赔，供方应按需方同意的下述一种或多种方法解决索赔事宜。</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（二）根据货物的疵劣和受损程度以及需方遭受损失的金额，经双方同意降低货物价格。</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九、知识产权</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（一）甲方在中华人民共和国境内使用乙方提供的货物及服务时免受第三方提出的侵犯其专利权或其它知识产权的起诉。如果第三方提出侵权指控，乙方承担由此而引起的一切法律责任和费用。</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（二）若涉及软件开发等服务类项目知识产权的，知识产权归采购人所有。</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十、合同争议的解决</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（一）当事人友好协商达成一致</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（二）在60天内当事人协商不能达成协议的，可提请采购人当地仲裁机构仲裁。</w:t>
      </w:r>
    </w:p>
    <w:p>
      <w:pPr>
        <w:snapToGrid w:val="0"/>
        <w:spacing w:line="560" w:lineRule="exact"/>
        <w:ind w:firstLine="560" w:firstLineChars="20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十一、违约责任</w:t>
      </w:r>
    </w:p>
    <w:p>
      <w:pPr>
        <w:snapToGrid w:val="0"/>
        <w:spacing w:line="560" w:lineRule="exact"/>
        <w:ind w:firstLine="560" w:firstLineChars="20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按《中华人民共和国民法典》、《中华人民共和国政府采购法》有关条款，或由供需双方约定。</w:t>
      </w:r>
    </w:p>
    <w:p>
      <w:pPr>
        <w:snapToGrid w:val="0"/>
        <w:spacing w:line="560" w:lineRule="exact"/>
        <w:ind w:firstLine="560" w:firstLineChars="20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十二、合同生效及其它</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（一）合同生效及其效力应符合《中华人民共和国民法典》有关规定。</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（二）合同应经当事人法定代表人或委托代理人签字，加盖双方合同专用章或公章。</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（三）合同所包括附件，是合同不可分割的一部分，具有同等法法律效力。</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（四）合同需提供担保的，按《中华人民共和国担保法》规定执行。</w:t>
      </w:r>
    </w:p>
    <w:p>
      <w:pPr>
        <w:snapToGrid w:val="0"/>
        <w:spacing w:line="560" w:lineRule="exact"/>
        <w:ind w:firstLine="420" w:firstLineChars="150"/>
        <w:outlineLvl w:val="0"/>
        <w:rPr>
          <w:rFonts w:ascii="方正仿宋_GBK" w:hAnsi="宋体" w:eastAsia="方正仿宋_GBK"/>
          <w:bCs/>
          <w:color w:val="000000" w:themeColor="text1"/>
          <w:sz w:val="28"/>
          <w:szCs w:val="28"/>
        </w:rPr>
      </w:pPr>
      <w:r>
        <w:rPr>
          <w:rFonts w:hint="eastAsia" w:ascii="方正仿宋_GBK" w:hAnsi="宋体" w:eastAsia="方正仿宋_GBK"/>
          <w:bCs/>
          <w:color w:val="000000" w:themeColor="text1"/>
          <w:sz w:val="28"/>
          <w:szCs w:val="28"/>
        </w:rPr>
        <w:t>（五）本合同条件未尽事宜依照《中华人民共和国民法典》，由供需双方共同协商确定。</w:t>
      </w:r>
    </w:p>
    <w:p>
      <w:pPr>
        <w:snapToGrid w:val="0"/>
        <w:spacing w:line="560" w:lineRule="exact"/>
        <w:ind w:firstLine="570"/>
        <w:rPr>
          <w:rFonts w:ascii="方正仿宋_GBK" w:hAnsi="宋体" w:eastAsia="方正仿宋_GBK"/>
          <w:color w:val="000000" w:themeColor="text1"/>
          <w:szCs w:val="28"/>
        </w:rPr>
        <w:sectPr>
          <w:footerReference r:id="rId5" w:type="default"/>
          <w:footerReference r:id="rId6" w:type="even"/>
          <w:pgSz w:w="11907" w:h="16840"/>
          <w:pgMar w:top="1134" w:right="1191" w:bottom="1134" w:left="1304" w:header="964" w:footer="992" w:gutter="0"/>
          <w:pgNumType w:fmt="numberInDash"/>
          <w:cols w:space="720" w:num="1"/>
          <w:docGrid w:linePitch="312" w:charSpace="0"/>
        </w:sectPr>
      </w:pPr>
    </w:p>
    <w:p>
      <w:pPr>
        <w:spacing w:line="560" w:lineRule="exact"/>
        <w:rPr>
          <w:rFonts w:ascii="方正仿宋_GBK" w:eastAsia="方正仿宋_GBK"/>
          <w:color w:val="000000" w:themeColor="text1"/>
          <w:szCs w:val="28"/>
        </w:rPr>
      </w:pPr>
      <w:bookmarkStart w:id="54" w:name="_Toc148265480"/>
      <w:bookmarkStart w:id="55" w:name="_Toc303945820"/>
      <w:r>
        <w:rPr>
          <w:rFonts w:hint="eastAsia" w:ascii="方正仿宋_GBK" w:eastAsia="方正仿宋_GBK"/>
          <w:color w:val="000000" w:themeColor="text1"/>
          <w:szCs w:val="28"/>
        </w:rPr>
        <w:t>附页：合同格式</w:t>
      </w:r>
      <w:bookmarkEnd w:id="54"/>
      <w:bookmarkEnd w:id="55"/>
    </w:p>
    <w:p>
      <w:pPr>
        <w:tabs>
          <w:tab w:val="left" w:pos="9000"/>
        </w:tabs>
        <w:spacing w:line="560" w:lineRule="exact"/>
        <w:jc w:val="center"/>
        <w:rPr>
          <w:rFonts w:ascii="方正仿宋_GBK" w:eastAsia="方正仿宋_GBK"/>
          <w:color w:val="000000" w:themeColor="text1"/>
          <w:szCs w:val="28"/>
        </w:rPr>
      </w:pPr>
    </w:p>
    <w:p>
      <w:pPr>
        <w:spacing w:line="560" w:lineRule="exact"/>
        <w:jc w:val="center"/>
        <w:rPr>
          <w:rFonts w:ascii="方正仿宋_GBK" w:hAnsi="楷体" w:eastAsia="方正仿宋_GBK"/>
          <w:color w:val="000000" w:themeColor="text1"/>
          <w:szCs w:val="28"/>
        </w:rPr>
      </w:pPr>
      <w:r>
        <w:rPr>
          <w:rFonts w:ascii="方正仿宋_GBK" w:hAnsi="楷体" w:eastAsia="方正仿宋_GBK"/>
          <w:color w:val="000000" w:themeColor="text1"/>
          <w:szCs w:val="28"/>
        </w:rPr>
        <w:pict>
          <v:shape id="_x0000_s1026" o:spid="_x0000_s1026" o:spt="202" type="#_x0000_t202" style="position:absolute;left:0pt;margin-left:297pt;margin-top:0pt;height:23.4pt;width:90pt;z-index:251659264;mso-width-relative:page;mso-height-relative:page;" filled="f" stroked="f" coordsize="21600,21600">
            <v:path/>
            <v:fill on="f" focussize="0,0"/>
            <v:stroke on="f" joinstyle="miter"/>
            <v:imagedata o:title=""/>
            <o:lock v:ext="edit"/>
            <v:textbox>
              <w:txbxContent>
                <w:p>
                  <w:pPr>
                    <w:rPr>
                      <w:rFonts w:ascii="楷体" w:hAnsi="楷体" w:eastAsia="楷体"/>
                      <w:sz w:val="24"/>
                    </w:rPr>
                  </w:pPr>
                  <w:r>
                    <w:rPr>
                      <w:rFonts w:hint="eastAsia" w:ascii="楷体" w:hAnsi="楷体" w:eastAsia="楷体"/>
                      <w:sz w:val="24"/>
                    </w:rPr>
                    <w:t>合同编号：</w:t>
                  </w:r>
                </w:p>
              </w:txbxContent>
            </v:textbox>
          </v:shape>
        </w:pict>
      </w:r>
    </w:p>
    <w:p>
      <w:pPr>
        <w:spacing w:line="560" w:lineRule="exact"/>
        <w:jc w:val="center"/>
        <w:rPr>
          <w:rFonts w:ascii="方正仿宋_GBK" w:hAnsi="楷体" w:eastAsia="方正仿宋_GBK"/>
          <w:color w:val="000000" w:themeColor="text1"/>
          <w:szCs w:val="28"/>
        </w:rPr>
      </w:pPr>
    </w:p>
    <w:p>
      <w:pPr>
        <w:spacing w:line="560" w:lineRule="exact"/>
        <w:rPr>
          <w:rFonts w:ascii="方正仿宋_GBK" w:hAnsi="楷体" w:eastAsia="方正仿宋_GBK"/>
          <w:color w:val="000000" w:themeColor="text1"/>
          <w:szCs w:val="28"/>
        </w:rPr>
      </w:pPr>
    </w:p>
    <w:p>
      <w:pPr>
        <w:spacing w:line="560" w:lineRule="exact"/>
        <w:rPr>
          <w:rFonts w:ascii="方正小标宋简体" w:hAnsi="楷体" w:eastAsia="方正小标宋简体"/>
          <w:color w:val="000000" w:themeColor="text1"/>
          <w:sz w:val="52"/>
          <w:szCs w:val="52"/>
        </w:rPr>
      </w:pPr>
    </w:p>
    <w:p>
      <w:pPr>
        <w:spacing w:line="900" w:lineRule="exact"/>
        <w:jc w:val="center"/>
        <w:rPr>
          <w:rFonts w:ascii="方正小标宋简体" w:hAnsi="楷体" w:eastAsia="方正小标宋简体"/>
          <w:color w:val="000000" w:themeColor="text1"/>
          <w:sz w:val="84"/>
          <w:szCs w:val="84"/>
        </w:rPr>
      </w:pPr>
      <w:r>
        <w:rPr>
          <w:rFonts w:hint="eastAsia" w:ascii="方正小标宋简体" w:hAnsi="楷体" w:eastAsia="方正小标宋简体"/>
          <w:color w:val="000000" w:themeColor="text1"/>
          <w:sz w:val="84"/>
          <w:szCs w:val="84"/>
        </w:rPr>
        <w:t>重庆市江北区中医院</w:t>
      </w:r>
    </w:p>
    <w:p>
      <w:pPr>
        <w:spacing w:line="900" w:lineRule="exact"/>
        <w:jc w:val="center"/>
        <w:rPr>
          <w:rFonts w:ascii="方正小标宋简体" w:hAnsi="楷体" w:eastAsia="方正小标宋简体"/>
          <w:color w:val="000000" w:themeColor="text1"/>
          <w:sz w:val="84"/>
          <w:szCs w:val="84"/>
        </w:rPr>
      </w:pPr>
      <w:r>
        <w:rPr>
          <w:rFonts w:hint="eastAsia" w:ascii="方正小标宋简体" w:hAnsi="楷体" w:eastAsia="方正小标宋简体"/>
          <w:color w:val="000000" w:themeColor="text1"/>
          <w:sz w:val="84"/>
          <w:szCs w:val="84"/>
        </w:rPr>
        <w:t>采购合同</w:t>
      </w:r>
    </w:p>
    <w:p>
      <w:pPr>
        <w:spacing w:line="640" w:lineRule="exact"/>
        <w:jc w:val="center"/>
        <w:rPr>
          <w:rFonts w:ascii="方正小标宋简体" w:hAnsi="楷体" w:eastAsia="方正小标宋简体"/>
          <w:color w:val="000000" w:themeColor="text1"/>
          <w:sz w:val="52"/>
          <w:szCs w:val="52"/>
        </w:rPr>
      </w:pPr>
    </w:p>
    <w:p>
      <w:pPr>
        <w:spacing w:line="640" w:lineRule="exact"/>
        <w:jc w:val="center"/>
        <w:rPr>
          <w:rFonts w:ascii="方正仿宋_GBK" w:hAnsi="楷体" w:eastAsia="方正仿宋_GBK"/>
          <w:color w:val="000000" w:themeColor="text1"/>
          <w:szCs w:val="28"/>
        </w:rPr>
      </w:pPr>
    </w:p>
    <w:p>
      <w:pPr>
        <w:spacing w:line="640" w:lineRule="exact"/>
        <w:rPr>
          <w:rFonts w:ascii="方正仿宋_GBK" w:hAnsi="楷体" w:eastAsia="方正仿宋_GBK"/>
          <w:color w:val="000000" w:themeColor="text1"/>
          <w:szCs w:val="28"/>
        </w:rPr>
      </w:pPr>
    </w:p>
    <w:p>
      <w:pPr>
        <w:spacing w:line="640" w:lineRule="exact"/>
        <w:rPr>
          <w:rFonts w:ascii="方正仿宋_GBK" w:hAnsi="楷体" w:eastAsia="方正仿宋_GBK"/>
          <w:color w:val="000000" w:themeColor="text1"/>
          <w:szCs w:val="28"/>
        </w:rPr>
      </w:pPr>
    </w:p>
    <w:p>
      <w:pPr>
        <w:spacing w:line="640" w:lineRule="exact"/>
        <w:rPr>
          <w:rFonts w:ascii="方正仿宋_GBK" w:hAnsi="楷体" w:eastAsia="方正仿宋_GBK"/>
          <w:color w:val="000000" w:themeColor="text1"/>
          <w:szCs w:val="28"/>
        </w:rPr>
      </w:pPr>
    </w:p>
    <w:p>
      <w:pPr>
        <w:spacing w:line="640" w:lineRule="exact"/>
        <w:rPr>
          <w:rFonts w:ascii="方正仿宋_GBK" w:hAnsi="楷体" w:eastAsia="方正仿宋_GBK"/>
          <w:color w:val="000000" w:themeColor="text1"/>
          <w:szCs w:val="28"/>
        </w:rPr>
      </w:pPr>
    </w:p>
    <w:p>
      <w:pPr>
        <w:spacing w:line="640" w:lineRule="exact"/>
        <w:ind w:firstLine="1600" w:firstLineChars="500"/>
        <w:rPr>
          <w:rFonts w:ascii="方正仿宋_GBK" w:hAnsi="楷体" w:eastAsia="方正仿宋_GBK"/>
          <w:color w:val="000000" w:themeColor="text1"/>
          <w:sz w:val="32"/>
          <w:szCs w:val="32"/>
        </w:rPr>
      </w:pPr>
      <w:r>
        <w:rPr>
          <w:rFonts w:hint="eastAsia" w:ascii="方正仿宋_GBK" w:hAnsi="楷体" w:eastAsia="方正仿宋_GBK"/>
          <w:color w:val="000000" w:themeColor="text1"/>
          <w:sz w:val="32"/>
          <w:szCs w:val="32"/>
        </w:rPr>
        <w:t>采购标的类型：□货物    □工程    □服务</w:t>
      </w:r>
    </w:p>
    <w:p>
      <w:pPr>
        <w:spacing w:line="640" w:lineRule="exact"/>
        <w:rPr>
          <w:rFonts w:ascii="方正仿宋_GBK" w:hAnsi="楷体" w:eastAsia="方正仿宋_GBK"/>
          <w:color w:val="000000" w:themeColor="text1"/>
          <w:sz w:val="32"/>
          <w:szCs w:val="32"/>
        </w:rPr>
      </w:pPr>
      <w:r>
        <w:rPr>
          <w:rFonts w:hint="eastAsia" w:ascii="方正仿宋_GBK" w:hAnsi="楷体" w:eastAsia="方正仿宋_GBK"/>
          <w:color w:val="000000" w:themeColor="text1"/>
          <w:sz w:val="32"/>
          <w:szCs w:val="32"/>
        </w:rPr>
        <w:t xml:space="preserve">          项 目 号：</w:t>
      </w:r>
    </w:p>
    <w:p>
      <w:pPr>
        <w:spacing w:line="640" w:lineRule="exact"/>
        <w:rPr>
          <w:rFonts w:ascii="方正仿宋_GBK" w:hAnsi="楷体" w:eastAsia="方正仿宋_GBK"/>
          <w:color w:val="000000" w:themeColor="text1"/>
          <w:sz w:val="32"/>
          <w:szCs w:val="32"/>
        </w:rPr>
      </w:pPr>
      <w:r>
        <w:rPr>
          <w:rFonts w:hint="eastAsia" w:ascii="方正仿宋_GBK" w:hAnsi="楷体" w:eastAsia="方正仿宋_GBK"/>
          <w:color w:val="000000" w:themeColor="text1"/>
          <w:sz w:val="32"/>
          <w:szCs w:val="32"/>
        </w:rPr>
        <w:t xml:space="preserve">          用户单位：</w:t>
      </w:r>
    </w:p>
    <w:p>
      <w:pPr>
        <w:spacing w:line="640" w:lineRule="exact"/>
        <w:rPr>
          <w:rFonts w:ascii="方正仿宋_GBK" w:hAnsi="楷体" w:eastAsia="方正仿宋_GBK"/>
          <w:color w:val="000000" w:themeColor="text1"/>
          <w:sz w:val="32"/>
          <w:szCs w:val="32"/>
        </w:rPr>
      </w:pPr>
      <w:r>
        <w:rPr>
          <w:rFonts w:hint="eastAsia" w:ascii="方正仿宋_GBK" w:hAnsi="楷体" w:eastAsia="方正仿宋_GBK"/>
          <w:color w:val="000000" w:themeColor="text1"/>
          <w:sz w:val="32"/>
          <w:szCs w:val="32"/>
        </w:rPr>
        <w:t xml:space="preserve">          合同项目：</w:t>
      </w:r>
    </w:p>
    <w:p>
      <w:pPr>
        <w:spacing w:line="640" w:lineRule="exact"/>
        <w:ind w:firstLine="1600" w:firstLineChars="500"/>
        <w:rPr>
          <w:rFonts w:ascii="方正仿宋_GBK" w:hAnsi="楷体" w:eastAsia="方正仿宋_GBK"/>
          <w:color w:val="000000" w:themeColor="text1"/>
          <w:sz w:val="32"/>
          <w:szCs w:val="32"/>
        </w:rPr>
      </w:pPr>
      <w:r>
        <w:rPr>
          <w:rFonts w:hint="eastAsia" w:ascii="方正仿宋_GBK" w:hAnsi="楷体" w:eastAsia="方正仿宋_GBK"/>
          <w:color w:val="000000" w:themeColor="text1"/>
          <w:sz w:val="32"/>
          <w:szCs w:val="32"/>
        </w:rPr>
        <w:t>合同金额：人民币元</w:t>
      </w:r>
    </w:p>
    <w:p>
      <w:pPr>
        <w:spacing w:line="640" w:lineRule="exact"/>
        <w:ind w:firstLine="1600" w:firstLineChars="500"/>
        <w:rPr>
          <w:rFonts w:ascii="方正仿宋_GBK" w:hAnsi="楷体" w:eastAsia="方正仿宋_GBK"/>
          <w:color w:val="000000" w:themeColor="text1"/>
          <w:sz w:val="32"/>
          <w:szCs w:val="32"/>
        </w:rPr>
      </w:pPr>
      <w:r>
        <w:rPr>
          <w:rFonts w:hint="eastAsia" w:ascii="方正仿宋_GBK" w:hAnsi="楷体" w:eastAsia="方正仿宋_GBK"/>
          <w:color w:val="000000" w:themeColor="text1"/>
          <w:sz w:val="32"/>
          <w:szCs w:val="32"/>
        </w:rPr>
        <w:t>经费科目：</w:t>
      </w:r>
    </w:p>
    <w:p>
      <w:pPr>
        <w:spacing w:line="640" w:lineRule="exact"/>
        <w:ind w:firstLine="1600" w:firstLineChars="500"/>
        <w:rPr>
          <w:rFonts w:ascii="方正仿宋_GBK" w:hAnsi="楷体" w:eastAsia="方正仿宋_GBK"/>
          <w:color w:val="000000" w:themeColor="text1"/>
          <w:sz w:val="32"/>
          <w:szCs w:val="32"/>
        </w:rPr>
      </w:pPr>
      <w:r>
        <w:rPr>
          <w:rFonts w:hint="eastAsia" w:ascii="方正仿宋_GBK" w:hAnsi="楷体" w:eastAsia="方正仿宋_GBK"/>
          <w:color w:val="000000" w:themeColor="text1"/>
          <w:sz w:val="32"/>
          <w:szCs w:val="32"/>
        </w:rPr>
        <w:t>中标单位：公司</w:t>
      </w:r>
    </w:p>
    <w:p>
      <w:pPr>
        <w:spacing w:line="640" w:lineRule="exact"/>
        <w:ind w:firstLine="1600" w:firstLineChars="500"/>
        <w:rPr>
          <w:rFonts w:ascii="方正仿宋_GBK" w:hAnsi="华文细黑" w:eastAsia="方正仿宋_GBK"/>
          <w:color w:val="000000" w:themeColor="text1"/>
          <w:sz w:val="32"/>
          <w:szCs w:val="32"/>
        </w:rPr>
      </w:pPr>
      <w:r>
        <w:rPr>
          <w:rFonts w:hint="eastAsia" w:ascii="方正仿宋_GBK" w:hAnsi="楷体" w:eastAsia="方正仿宋_GBK"/>
          <w:color w:val="000000" w:themeColor="text1"/>
          <w:sz w:val="32"/>
          <w:szCs w:val="32"/>
        </w:rPr>
        <w:t>签订时间：2021年 月 日</w:t>
      </w:r>
    </w:p>
    <w:p>
      <w:pPr>
        <w:pStyle w:val="3"/>
        <w:spacing w:line="500" w:lineRule="exact"/>
        <w:rPr>
          <w:rFonts w:ascii="宋体" w:hAnsi="宋体" w:eastAsia="宋体"/>
          <w:bCs w:val="0"/>
          <w:color w:val="000000"/>
          <w:sz w:val="28"/>
          <w:szCs w:val="28"/>
        </w:rPr>
      </w:pPr>
      <w:bookmarkStart w:id="56" w:name="_Toc493506317"/>
      <w:bookmarkStart w:id="57" w:name="_Toc285722713"/>
      <w:bookmarkStart w:id="58" w:name="_Toc277084871"/>
      <w:r>
        <w:rPr>
          <w:rFonts w:hint="eastAsia" w:ascii="仿宋" w:hAnsi="仿宋" w:eastAsia="仿宋"/>
          <w:b w:val="0"/>
          <w:sz w:val="24"/>
        </w:rPr>
        <w:t>二、采购合同（格式）</w:t>
      </w:r>
      <w:bookmarkEnd w:id="56"/>
      <w:bookmarkEnd w:id="57"/>
      <w:bookmarkEnd w:id="58"/>
    </w:p>
    <w:p>
      <w:pPr>
        <w:spacing w:line="320" w:lineRule="exact"/>
        <w:jc w:val="center"/>
        <w:rPr>
          <w:rFonts w:ascii="宋体" w:hAnsi="宋体"/>
          <w:b/>
          <w:color w:val="000000"/>
          <w:sz w:val="28"/>
          <w:szCs w:val="28"/>
        </w:rPr>
      </w:pPr>
      <w:r>
        <w:rPr>
          <w:rFonts w:hint="eastAsia" w:ascii="宋体" w:hAnsi="宋体"/>
          <w:b/>
          <w:sz w:val="44"/>
          <w:szCs w:val="44"/>
        </w:rPr>
        <w:t>重庆市江北区采购合同</w:t>
      </w:r>
    </w:p>
    <w:p>
      <w:pPr>
        <w:spacing w:line="320" w:lineRule="exact"/>
        <w:rPr>
          <w:rFonts w:ascii="宋体" w:hAnsi="宋体"/>
          <w:b/>
          <w:color w:val="000000"/>
          <w:sz w:val="28"/>
          <w:szCs w:val="28"/>
        </w:rPr>
      </w:pPr>
    </w:p>
    <w:p>
      <w:pPr>
        <w:spacing w:line="320" w:lineRule="exact"/>
        <w:rPr>
          <w:rFonts w:ascii="宋体"/>
          <w:b/>
          <w:color w:val="000000"/>
          <w:sz w:val="28"/>
          <w:szCs w:val="28"/>
        </w:rPr>
      </w:pPr>
      <w:r>
        <w:rPr>
          <w:rFonts w:hint="eastAsia" w:ascii="宋体" w:hAnsi="宋体"/>
          <w:b/>
          <w:color w:val="000000"/>
          <w:sz w:val="28"/>
          <w:szCs w:val="28"/>
        </w:rPr>
        <w:t>招标项目名称：江北区中医院污水处理设施运营管理服务项目</w:t>
      </w:r>
    </w:p>
    <w:p>
      <w:pPr>
        <w:spacing w:line="320" w:lineRule="exact"/>
        <w:rPr>
          <w:rFonts w:ascii="宋体"/>
          <w:b/>
          <w:color w:val="000000"/>
          <w:sz w:val="28"/>
          <w:szCs w:val="28"/>
        </w:rPr>
      </w:pPr>
      <w:r>
        <w:rPr>
          <w:rFonts w:hint="eastAsia" w:ascii="宋体" w:hAnsi="宋体"/>
          <w:b/>
          <w:color w:val="000000"/>
          <w:sz w:val="28"/>
          <w:szCs w:val="28"/>
        </w:rPr>
        <w:t>项目计划编号：</w:t>
      </w:r>
    </w:p>
    <w:p>
      <w:pPr>
        <w:spacing w:line="320" w:lineRule="exact"/>
        <w:rPr>
          <w:rFonts w:ascii="宋体"/>
          <w:b/>
          <w:color w:val="000000"/>
          <w:sz w:val="28"/>
          <w:szCs w:val="28"/>
        </w:rPr>
      </w:pPr>
      <w:r>
        <w:rPr>
          <w:rFonts w:hint="eastAsia" w:ascii="宋体" w:hAnsi="宋体"/>
          <w:b/>
          <w:color w:val="000000"/>
          <w:sz w:val="28"/>
          <w:szCs w:val="28"/>
        </w:rPr>
        <w:t>招标文件编号：</w:t>
      </w:r>
      <w:r>
        <w:rPr>
          <w:rFonts w:ascii="宋体"/>
          <w:b/>
          <w:color w:val="000000"/>
          <w:sz w:val="28"/>
          <w:szCs w:val="28"/>
        </w:rPr>
        <w:t xml:space="preserve"> </w:t>
      </w:r>
    </w:p>
    <w:p>
      <w:pPr>
        <w:tabs>
          <w:tab w:val="left" w:pos="4760"/>
        </w:tabs>
        <w:spacing w:line="320" w:lineRule="exact"/>
        <w:rPr>
          <w:rFonts w:ascii="宋体"/>
          <w:sz w:val="28"/>
          <w:szCs w:val="28"/>
        </w:rPr>
      </w:pPr>
      <w:r>
        <w:rPr>
          <w:rFonts w:hint="eastAsia" w:ascii="宋体" w:hAnsi="宋体"/>
          <w:sz w:val="28"/>
          <w:szCs w:val="28"/>
        </w:rPr>
        <w:t>甲方(需方):</w:t>
      </w:r>
      <w:r>
        <w:rPr>
          <w:rFonts w:hint="eastAsia" w:ascii="宋体" w:hAnsi="宋体"/>
          <w:sz w:val="28"/>
          <w:szCs w:val="28"/>
          <w:u w:val="single"/>
        </w:rPr>
        <w:t>重庆市江北区中医院</w:t>
      </w:r>
      <w:r>
        <w:rPr>
          <w:rFonts w:ascii="宋体"/>
          <w:sz w:val="28"/>
          <w:szCs w:val="28"/>
        </w:rPr>
        <w:tab/>
      </w:r>
      <w:r>
        <w:rPr>
          <w:rFonts w:ascii="宋体" w:hAnsi="宋体"/>
          <w:sz w:val="28"/>
          <w:szCs w:val="28"/>
        </w:rPr>
        <w:t xml:space="preserve">      </w:t>
      </w:r>
      <w:r>
        <w:rPr>
          <w:rFonts w:hint="eastAsia" w:ascii="宋体" w:hAnsi="宋体"/>
          <w:sz w:val="28"/>
          <w:szCs w:val="28"/>
        </w:rPr>
        <w:t xml:space="preserve"> 计价单位： </w:t>
      </w:r>
      <w:r>
        <w:rPr>
          <w:rFonts w:hint="eastAsia" w:ascii="宋体" w:hAnsi="宋体"/>
          <w:sz w:val="28"/>
          <w:szCs w:val="28"/>
          <w:u w:val="single"/>
        </w:rPr>
        <w:t>元</w:t>
      </w:r>
      <w:r>
        <w:rPr>
          <w:rFonts w:hint="eastAsia" w:ascii="宋体" w:hAnsi="宋体"/>
          <w:sz w:val="28"/>
          <w:szCs w:val="28"/>
        </w:rPr>
        <w:t xml:space="preserve"> </w:t>
      </w:r>
    </w:p>
    <w:p>
      <w:pPr>
        <w:tabs>
          <w:tab w:val="left" w:pos="4760"/>
        </w:tabs>
        <w:spacing w:line="320" w:lineRule="exact"/>
        <w:rPr>
          <w:rFonts w:ascii="宋体"/>
          <w:sz w:val="28"/>
          <w:szCs w:val="28"/>
          <w:u w:val="single"/>
        </w:rPr>
      </w:pPr>
      <w:r>
        <w:rPr>
          <w:rFonts w:hint="eastAsia" w:ascii="宋体" w:hAnsi="宋体"/>
          <w:sz w:val="28"/>
          <w:szCs w:val="28"/>
        </w:rPr>
        <w:t>乙方（供方）：</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 xml:space="preserve"> 计量单位： </w:t>
      </w:r>
      <w:r>
        <w:rPr>
          <w:rFonts w:hint="eastAsia" w:ascii="宋体" w:hAnsi="宋体"/>
          <w:sz w:val="28"/>
          <w:szCs w:val="28"/>
          <w:u w:val="single"/>
        </w:rPr>
        <w:t>件</w:t>
      </w:r>
    </w:p>
    <w:p>
      <w:pPr>
        <w:widowControl/>
        <w:shd w:val="clear" w:color="auto" w:fill="FFFFFF"/>
        <w:spacing w:line="560" w:lineRule="exact"/>
        <w:ind w:firstLine="560" w:firstLineChars="200"/>
        <w:rPr>
          <w:rFonts w:ascii="方正仿宋_GBK" w:hAnsi="宋体" w:eastAsia="方正仿宋_GBK"/>
          <w:color w:val="000000"/>
          <w:sz w:val="28"/>
          <w:szCs w:val="28"/>
        </w:rPr>
      </w:pPr>
      <w:r>
        <w:rPr>
          <w:rFonts w:hint="eastAsia" w:ascii="方正仿宋_GBK" w:hAnsi="宋体" w:eastAsia="方正仿宋_GBK"/>
          <w:color w:val="000000"/>
          <w:sz w:val="28"/>
          <w:szCs w:val="28"/>
        </w:rPr>
        <w:t>根据《中华人民共和国民法典》等有关法律、法规的规定，在平等、自愿、协商一致的基础上，就甲方委托乙方对甲方污水处理设施运营管理外包等服务实行规范、统一、专业化的污水处理设施运营管理服务，特订立本合同，以便双方共同遵守。</w:t>
      </w:r>
    </w:p>
    <w:p>
      <w:pPr>
        <w:widowControl/>
        <w:shd w:val="clear" w:color="auto" w:fill="FFFFFF"/>
        <w:spacing w:line="560" w:lineRule="exact"/>
        <w:ind w:firstLine="280" w:firstLineChars="100"/>
        <w:rPr>
          <w:rFonts w:ascii="宋体" w:hAnsi="宋体" w:cs="宋体"/>
          <w:kern w:val="0"/>
          <w:sz w:val="28"/>
          <w:szCs w:val="28"/>
        </w:rPr>
      </w:pPr>
      <w:r>
        <w:rPr>
          <w:rFonts w:hint="eastAsia" w:ascii="宋体" w:hAnsi="宋体" w:cs="宋体"/>
          <w:kern w:val="0"/>
          <w:sz w:val="28"/>
          <w:szCs w:val="28"/>
        </w:rPr>
        <w:t>一、</w:t>
      </w:r>
      <w:r>
        <w:rPr>
          <w:rFonts w:hint="eastAsia" w:ascii="方正仿宋_GBK" w:hAnsi="宋体" w:eastAsia="方正仿宋_GBK"/>
          <w:color w:val="000000"/>
          <w:sz w:val="28"/>
          <w:szCs w:val="28"/>
        </w:rPr>
        <w:t>污水处理设施运营管理</w:t>
      </w:r>
      <w:r>
        <w:rPr>
          <w:rFonts w:hint="eastAsia" w:ascii="宋体" w:hAnsi="宋体" w:cs="宋体"/>
          <w:kern w:val="0"/>
          <w:sz w:val="28"/>
          <w:szCs w:val="28"/>
        </w:rPr>
        <w:t>外包服务范围</w:t>
      </w:r>
    </w:p>
    <w:p>
      <w:pPr>
        <w:spacing w:line="276" w:lineRule="auto"/>
        <w:rPr>
          <w:rFonts w:ascii="方正仿宋_GBK" w:hAnsi="宋体" w:eastAsia="方正仿宋_GBK"/>
          <w:color w:val="000000" w:themeColor="text1"/>
          <w:sz w:val="24"/>
        </w:rPr>
      </w:pPr>
      <w:r>
        <w:rPr>
          <w:rFonts w:hint="eastAsia" w:ascii="方正仿宋_GBK" w:hAnsi="宋体" w:eastAsia="方正仿宋_GBK"/>
          <w:color w:val="000000" w:themeColor="text1"/>
          <w:sz w:val="24"/>
        </w:rPr>
        <w:t>（1）运行过程中化学药剂购买及投放，确保满足系统出水达标要求；</w:t>
      </w:r>
    </w:p>
    <w:p>
      <w:pPr>
        <w:spacing w:line="276" w:lineRule="auto"/>
        <w:rPr>
          <w:rFonts w:ascii="方正仿宋_GBK" w:hAnsi="宋体" w:eastAsia="方正仿宋_GBK"/>
          <w:color w:val="000000" w:themeColor="text1"/>
          <w:sz w:val="24"/>
        </w:rPr>
      </w:pPr>
      <w:r>
        <w:rPr>
          <w:rFonts w:hint="eastAsia" w:ascii="方正仿宋_GBK" w:hAnsi="宋体" w:eastAsia="方正仿宋_GBK"/>
          <w:color w:val="000000" w:themeColor="text1"/>
          <w:sz w:val="24"/>
        </w:rPr>
        <w:t>（2）污水处理系统废气治理设施的滤料（活性炭等）的购买与更换，废弃填料的打包处理；</w:t>
      </w:r>
    </w:p>
    <w:p>
      <w:pPr>
        <w:spacing w:line="276" w:lineRule="auto"/>
        <w:rPr>
          <w:rFonts w:ascii="方正仿宋_GBK" w:hAnsi="宋体" w:eastAsia="方正仿宋_GBK"/>
          <w:color w:val="000000" w:themeColor="text1"/>
          <w:sz w:val="24"/>
        </w:rPr>
      </w:pPr>
      <w:r>
        <w:rPr>
          <w:rFonts w:hint="eastAsia" w:ascii="方正仿宋_GBK" w:hAnsi="宋体" w:eastAsia="方正仿宋_GBK"/>
          <w:color w:val="000000" w:themeColor="text1"/>
          <w:sz w:val="24"/>
        </w:rPr>
        <w:t>（3）化粪池清掏：化粪池一年清掏两次；确保所有化粪池不堵塞，并对淤泥无害化处置进行规范处理。</w:t>
      </w:r>
    </w:p>
    <w:p>
      <w:pPr>
        <w:spacing w:line="276" w:lineRule="auto"/>
        <w:rPr>
          <w:rFonts w:ascii="方正仿宋_GBK" w:hAnsi="宋体" w:eastAsia="方正仿宋_GBK"/>
          <w:color w:val="000000" w:themeColor="text1"/>
          <w:sz w:val="24"/>
        </w:rPr>
      </w:pPr>
      <w:r>
        <w:rPr>
          <w:rFonts w:hint="eastAsia" w:ascii="方正仿宋_GBK" w:hAnsi="宋体" w:eastAsia="方正仿宋_GBK"/>
          <w:color w:val="000000" w:themeColor="text1"/>
          <w:sz w:val="24"/>
        </w:rPr>
        <w:t>（4）肠道致病菌（沙门氏菌、志贺氏菌）、肠道病毒定期送检， PH、余氯化验每日不少于2次；</w:t>
      </w:r>
    </w:p>
    <w:p>
      <w:pPr>
        <w:spacing w:line="276" w:lineRule="auto"/>
        <w:rPr>
          <w:rFonts w:ascii="方正仿宋_GBK" w:hAnsi="宋体" w:eastAsia="方正仿宋_GBK"/>
          <w:color w:val="000000" w:themeColor="text1"/>
          <w:sz w:val="24"/>
        </w:rPr>
      </w:pPr>
      <w:r>
        <w:rPr>
          <w:rFonts w:hint="eastAsia" w:ascii="方正仿宋_GBK" w:hAnsi="宋体" w:eastAsia="方正仿宋_GBK"/>
          <w:color w:val="000000" w:themeColor="text1"/>
          <w:sz w:val="24"/>
        </w:rPr>
        <w:t>（5）安全职防；</w:t>
      </w:r>
    </w:p>
    <w:p>
      <w:pPr>
        <w:spacing w:line="276" w:lineRule="auto"/>
        <w:rPr>
          <w:rFonts w:ascii="方正仿宋_GBK" w:hAnsi="宋体" w:eastAsia="方正仿宋_GBK"/>
          <w:color w:val="000000" w:themeColor="text1"/>
          <w:sz w:val="24"/>
        </w:rPr>
      </w:pPr>
      <w:r>
        <w:rPr>
          <w:rFonts w:hint="eastAsia" w:ascii="方正仿宋_GBK" w:hAnsi="宋体" w:eastAsia="方正仿宋_GBK"/>
          <w:color w:val="000000" w:themeColor="text1"/>
          <w:sz w:val="24"/>
        </w:rPr>
        <w:t>6）设施设备日常维护及维修、易耗材料；</w:t>
      </w:r>
    </w:p>
    <w:p>
      <w:pPr>
        <w:spacing w:line="276" w:lineRule="auto"/>
        <w:rPr>
          <w:rFonts w:ascii="方正仿宋_GBK" w:hAnsi="宋体" w:eastAsia="方正仿宋_GBK"/>
          <w:color w:val="000000" w:themeColor="text1"/>
          <w:sz w:val="24"/>
        </w:rPr>
      </w:pPr>
      <w:r>
        <w:rPr>
          <w:rFonts w:hint="eastAsia" w:ascii="方正仿宋_GBK" w:hAnsi="宋体" w:eastAsia="方正仿宋_GBK"/>
          <w:color w:val="000000" w:themeColor="text1"/>
          <w:sz w:val="24"/>
        </w:rPr>
        <w:t>（7）环境保护突发事故的处理措施及应急处理；</w:t>
      </w:r>
    </w:p>
    <w:p>
      <w:pPr>
        <w:spacing w:line="276" w:lineRule="auto"/>
        <w:rPr>
          <w:rFonts w:ascii="方正仿宋_GBK" w:hAnsi="宋体" w:eastAsia="方正仿宋_GBK"/>
          <w:color w:val="000000" w:themeColor="text1"/>
          <w:sz w:val="24"/>
        </w:rPr>
      </w:pPr>
      <w:r>
        <w:rPr>
          <w:rFonts w:hint="eastAsia" w:ascii="方正仿宋_GBK" w:hAnsi="宋体" w:eastAsia="方正仿宋_GBK"/>
          <w:color w:val="000000" w:themeColor="text1"/>
          <w:sz w:val="24"/>
        </w:rPr>
        <w:t>（8）接受院领导及各级政府部门的督查和检查；</w:t>
      </w:r>
    </w:p>
    <w:p>
      <w:pPr>
        <w:spacing w:line="276" w:lineRule="auto"/>
        <w:rPr>
          <w:rFonts w:ascii="方正仿宋_GBK" w:hAnsi="宋体" w:eastAsia="方正仿宋_GBK"/>
          <w:color w:val="000000" w:themeColor="text1"/>
          <w:sz w:val="24"/>
        </w:rPr>
      </w:pPr>
      <w:r>
        <w:rPr>
          <w:rFonts w:hint="eastAsia" w:ascii="方正仿宋_GBK" w:hAnsi="宋体" w:eastAsia="方正仿宋_GBK"/>
          <w:color w:val="000000" w:themeColor="text1"/>
          <w:sz w:val="24"/>
        </w:rPr>
        <w:t>（9）排污许可证的办理。（服务商负责污水站排污许可证的更换办理，采购人配合）；</w:t>
      </w:r>
    </w:p>
    <w:p>
      <w:pPr>
        <w:spacing w:line="276" w:lineRule="auto"/>
        <w:rPr>
          <w:rFonts w:ascii="方正仿宋_GBK" w:hAnsi="宋体" w:eastAsia="方正仿宋_GBK"/>
          <w:color w:val="000000" w:themeColor="text1"/>
          <w:sz w:val="24"/>
        </w:rPr>
      </w:pPr>
      <w:r>
        <w:rPr>
          <w:rFonts w:hint="eastAsia" w:ascii="方正仿宋_GBK" w:hAnsi="宋体" w:eastAsia="方正仿宋_GBK"/>
          <w:color w:val="000000" w:themeColor="text1"/>
          <w:sz w:val="24"/>
        </w:rPr>
        <w:t>10）环境安全风险的控制；</w:t>
      </w:r>
    </w:p>
    <w:p>
      <w:pPr>
        <w:spacing w:line="276" w:lineRule="auto"/>
        <w:rPr>
          <w:rFonts w:ascii="方正仿宋_GBK" w:hAnsi="宋体" w:eastAsia="方正仿宋_GBK"/>
          <w:color w:val="000000" w:themeColor="text1"/>
          <w:sz w:val="24"/>
        </w:rPr>
      </w:pPr>
      <w:r>
        <w:rPr>
          <w:rFonts w:hint="eastAsia" w:ascii="方正仿宋_GBK" w:hAnsi="宋体" w:eastAsia="方正仿宋_GBK"/>
          <w:color w:val="000000" w:themeColor="text1"/>
          <w:sz w:val="24"/>
        </w:rPr>
        <w:t>（11）派驻项目负责人负责运营管理；</w:t>
      </w:r>
    </w:p>
    <w:p>
      <w:pPr>
        <w:spacing w:line="276" w:lineRule="auto"/>
        <w:rPr>
          <w:rFonts w:ascii="方正仿宋_GBK" w:hAnsi="宋体" w:eastAsia="方正仿宋_GBK"/>
          <w:color w:val="000000" w:themeColor="text1"/>
          <w:sz w:val="24"/>
        </w:rPr>
      </w:pPr>
      <w:r>
        <w:rPr>
          <w:rFonts w:hint="eastAsia" w:ascii="方正仿宋_GBK" w:hAnsi="宋体" w:eastAsia="方正仿宋_GBK"/>
          <w:color w:val="000000" w:themeColor="text1"/>
          <w:sz w:val="24"/>
        </w:rPr>
        <w:t>12）操作维修人员8小时值班；</w:t>
      </w:r>
    </w:p>
    <w:p>
      <w:pPr>
        <w:spacing w:line="276" w:lineRule="auto"/>
        <w:rPr>
          <w:rFonts w:ascii="方正仿宋_GBK" w:hAnsi="宋体" w:eastAsia="方正仿宋_GBK"/>
          <w:color w:val="000000" w:themeColor="text1"/>
          <w:sz w:val="24"/>
        </w:rPr>
      </w:pPr>
      <w:r>
        <w:rPr>
          <w:rFonts w:hint="eastAsia" w:ascii="方正仿宋_GBK" w:hAnsi="宋体" w:eastAsia="方正仿宋_GBK"/>
          <w:color w:val="000000" w:themeColor="text1"/>
          <w:sz w:val="24"/>
        </w:rPr>
        <w:t>（13）年度环境信用评价；</w:t>
      </w:r>
    </w:p>
    <w:p>
      <w:pPr>
        <w:spacing w:line="276" w:lineRule="auto"/>
        <w:rPr>
          <w:rFonts w:ascii="方正仿宋_GBK" w:hAnsi="宋体" w:eastAsia="方正仿宋_GBK"/>
          <w:color w:val="000000" w:themeColor="text1"/>
          <w:sz w:val="24"/>
        </w:rPr>
      </w:pPr>
      <w:r>
        <w:rPr>
          <w:rFonts w:hint="eastAsia" w:ascii="方正仿宋_GBK" w:hAnsi="宋体" w:eastAsia="方正仿宋_GBK"/>
          <w:color w:val="000000" w:themeColor="text1"/>
          <w:sz w:val="24"/>
        </w:rPr>
        <w:t>（14）排污企业排口监管等；</w:t>
      </w:r>
    </w:p>
    <w:p>
      <w:pPr>
        <w:spacing w:line="276" w:lineRule="auto"/>
        <w:rPr>
          <w:rFonts w:ascii="方正仿宋_GBK" w:hAnsi="宋体" w:eastAsia="方正仿宋_GBK"/>
          <w:color w:val="000000" w:themeColor="text1"/>
          <w:sz w:val="24"/>
        </w:rPr>
      </w:pPr>
      <w:r>
        <w:rPr>
          <w:rFonts w:hint="eastAsia" w:ascii="方正仿宋_GBK" w:hAnsi="宋体" w:eastAsia="方正仿宋_GBK"/>
          <w:color w:val="000000" w:themeColor="text1"/>
          <w:sz w:val="24"/>
        </w:rPr>
        <w:t>（15）院区污水处理站、在线监测系统设备、污水预处理设备的投药、运营保养及维护，确保系统正常运行。</w:t>
      </w:r>
    </w:p>
    <w:p>
      <w:pPr>
        <w:spacing w:line="400" w:lineRule="exact"/>
        <w:ind w:firstLine="560" w:firstLineChars="200"/>
        <w:rPr>
          <w:rFonts w:ascii="方正仿宋_GBK" w:hAnsi="宋体" w:eastAsia="方正仿宋_GBK"/>
          <w:color w:val="000000"/>
          <w:sz w:val="28"/>
          <w:szCs w:val="28"/>
        </w:rPr>
      </w:pPr>
      <w:r>
        <w:rPr>
          <w:rFonts w:hint="eastAsia" w:ascii="方正仿宋_GBK" w:hAnsi="宋体" w:eastAsia="方正仿宋_GBK"/>
          <w:color w:val="000000"/>
          <w:sz w:val="28"/>
          <w:szCs w:val="28"/>
        </w:rPr>
        <w:t>4. 总体要求</w:t>
      </w:r>
    </w:p>
    <w:p>
      <w:pPr>
        <w:spacing w:line="400" w:lineRule="exact"/>
        <w:rPr>
          <w:rFonts w:ascii="方正仿宋_GBK" w:hAnsi="宋体" w:eastAsia="方正仿宋_GBK"/>
          <w:color w:val="000000" w:themeColor="text1"/>
          <w:sz w:val="24"/>
        </w:rPr>
      </w:pPr>
      <w:r>
        <w:rPr>
          <w:rFonts w:hint="eastAsia" w:ascii="方正仿宋_GBK" w:hAnsi="宋体" w:eastAsia="方正仿宋_GBK"/>
          <w:color w:val="000000" w:themeColor="text1"/>
          <w:sz w:val="24"/>
        </w:rPr>
        <w:t>（1）对日处理400m3（小时处理能力为16.5m3/h</w:t>
      </w:r>
      <w:r>
        <w:rPr>
          <w:rFonts w:ascii="方正仿宋_GBK" w:hAnsi="宋体" w:eastAsia="方正仿宋_GBK"/>
          <w:color w:val="000000" w:themeColor="text1"/>
          <w:sz w:val="24"/>
        </w:rPr>
        <w:t>）</w:t>
      </w:r>
      <w:r>
        <w:rPr>
          <w:rFonts w:hint="eastAsia" w:ascii="方正仿宋_GBK" w:hAnsi="宋体" w:eastAsia="方正仿宋_GBK"/>
          <w:color w:val="000000" w:themeColor="text1"/>
          <w:sz w:val="24"/>
        </w:rPr>
        <w:t>污水处理站系统设施及监测系统设备进行运行维护，确保系统正常运行，出水达标；</w:t>
      </w:r>
    </w:p>
    <w:p>
      <w:pPr>
        <w:spacing w:line="276" w:lineRule="auto"/>
        <w:rPr>
          <w:rFonts w:ascii="方正仿宋_GBK" w:hAnsi="宋体" w:eastAsia="方正仿宋_GBK"/>
          <w:color w:val="000000" w:themeColor="text1"/>
          <w:sz w:val="24"/>
        </w:rPr>
      </w:pPr>
      <w:r>
        <w:rPr>
          <w:rFonts w:hint="eastAsia" w:ascii="方正仿宋_GBK" w:hAnsi="宋体" w:eastAsia="方正仿宋_GBK"/>
          <w:color w:val="000000" w:themeColor="text1"/>
          <w:sz w:val="24"/>
        </w:rPr>
        <w:t>（2）严格执行环保部门、卫生行政部门的相关规定，负责污水处理站的运营管理，服务商必须保证生产污水的达标排放，污水必须经处理后排放到总排污口。</w:t>
      </w:r>
    </w:p>
    <w:p>
      <w:pPr>
        <w:spacing w:line="276" w:lineRule="auto"/>
        <w:rPr>
          <w:rFonts w:ascii="方正仿宋_GBK" w:hAnsi="宋体" w:eastAsia="方正仿宋_GBK"/>
          <w:color w:val="000000" w:themeColor="text1"/>
          <w:sz w:val="24"/>
        </w:rPr>
      </w:pPr>
      <w:r>
        <w:rPr>
          <w:rFonts w:hint="eastAsia" w:ascii="方正仿宋_GBK" w:hAnsi="宋体" w:eastAsia="方正仿宋_GBK"/>
          <w:color w:val="000000" w:themeColor="text1"/>
          <w:sz w:val="24"/>
        </w:rPr>
        <w:t>（3）运营托管期间，服务商自行承担各项费用、风险和所有责任。</w:t>
      </w:r>
    </w:p>
    <w:p>
      <w:pPr>
        <w:tabs>
          <w:tab w:val="left" w:pos="0"/>
        </w:tabs>
        <w:spacing w:line="276" w:lineRule="auto"/>
        <w:rPr>
          <w:rFonts w:ascii="方正仿宋_GBK" w:hAnsi="宋体" w:eastAsia="方正仿宋_GBK"/>
          <w:color w:val="000000" w:themeColor="text1"/>
          <w:sz w:val="24"/>
        </w:rPr>
      </w:pPr>
      <w:r>
        <w:rPr>
          <w:rFonts w:hint="eastAsia" w:ascii="方正仿宋_GBK" w:hAnsi="宋体" w:eastAsia="方正仿宋_GBK"/>
          <w:color w:val="000000" w:themeColor="text1"/>
          <w:sz w:val="24"/>
        </w:rPr>
        <w:t>（4）污水不达标所引起的一切责任及经济处罚由服务商承担。</w:t>
      </w:r>
    </w:p>
    <w:p>
      <w:pPr>
        <w:tabs>
          <w:tab w:val="left" w:pos="0"/>
        </w:tabs>
        <w:spacing w:line="276" w:lineRule="auto"/>
        <w:rPr>
          <w:rFonts w:ascii="方正仿宋_GBK" w:hAnsi="宋体" w:eastAsia="方正仿宋_GBK"/>
          <w:color w:val="000000" w:themeColor="text1"/>
          <w:sz w:val="24"/>
        </w:rPr>
      </w:pPr>
      <w:r>
        <w:rPr>
          <w:rFonts w:hint="eastAsia" w:ascii="方正仿宋_GBK" w:hAnsi="宋体" w:eastAsia="方正仿宋_GBK"/>
          <w:color w:val="000000" w:themeColor="text1"/>
          <w:sz w:val="24"/>
        </w:rPr>
        <w:t>（5）服务商必须按照国家相关法律法规、“二级综合医院评审标准实施细则”以及医院管理的相关要求准备完善相关资料，定期移交。</w:t>
      </w:r>
    </w:p>
    <w:p>
      <w:pPr>
        <w:tabs>
          <w:tab w:val="left" w:pos="0"/>
        </w:tabs>
        <w:spacing w:line="276" w:lineRule="auto"/>
        <w:rPr>
          <w:rFonts w:ascii="方正仿宋_GBK" w:hAnsi="宋体" w:eastAsia="方正仿宋_GBK"/>
          <w:color w:val="000000" w:themeColor="text1"/>
          <w:sz w:val="24"/>
        </w:rPr>
      </w:pPr>
      <w:r>
        <w:rPr>
          <w:rFonts w:hint="eastAsia" w:ascii="方正仿宋_GBK" w:hAnsi="宋体" w:eastAsia="方正仿宋_GBK"/>
          <w:color w:val="000000" w:themeColor="text1"/>
          <w:sz w:val="24"/>
        </w:rPr>
        <w:t>（6）服务商在运营期间，必须严格按污水处理站设备操作规程进行操作，确保污水处理达标排放，并保证人身安全。如果在合同期内发生安全事故，责任由服务商负责。</w:t>
      </w:r>
    </w:p>
    <w:p>
      <w:pPr>
        <w:tabs>
          <w:tab w:val="left" w:pos="0"/>
        </w:tabs>
        <w:spacing w:line="276" w:lineRule="auto"/>
        <w:rPr>
          <w:rFonts w:ascii="方正仿宋_GBK" w:hAnsi="宋体" w:eastAsia="方正仿宋_GBK"/>
          <w:color w:val="000000" w:themeColor="text1"/>
          <w:sz w:val="24"/>
        </w:rPr>
      </w:pPr>
      <w:r>
        <w:rPr>
          <w:rFonts w:hint="eastAsia" w:ascii="方正仿宋_GBK" w:hAnsi="宋体" w:eastAsia="方正仿宋_GBK"/>
          <w:color w:val="000000" w:themeColor="text1"/>
          <w:sz w:val="24"/>
        </w:rPr>
        <w:t>（7）服务商必须无条件随采购人生产安排情况及时处理污水，并确保达标。</w:t>
      </w:r>
    </w:p>
    <w:p>
      <w:pPr>
        <w:pStyle w:val="33"/>
        <w:ind w:firstLine="0" w:firstLineChars="0"/>
        <w:rPr>
          <w:rFonts w:ascii="仿宋_GB2312" w:hAnsi="仿宋_GB2312" w:eastAsia="宋体" w:cs="仿宋_GB2312"/>
          <w:spacing w:val="0"/>
          <w:sz w:val="21"/>
        </w:rPr>
      </w:pPr>
      <w:r>
        <w:rPr>
          <w:rFonts w:hint="eastAsia" w:ascii="仿宋_GB2312" w:hAnsi="仿宋_GB2312" w:eastAsia="宋体" w:cs="仿宋_GB2312"/>
          <w:spacing w:val="0"/>
          <w:sz w:val="21"/>
        </w:rPr>
        <w:t>（8）按照相关行业主管部门申报、办理环保相关手续等内容，保证污水处理站的正常运行和污水达标排放。</w:t>
      </w:r>
    </w:p>
    <w:p>
      <w:pPr>
        <w:pStyle w:val="33"/>
        <w:ind w:firstLine="0" w:firstLineChars="0"/>
        <w:rPr>
          <w:rFonts w:ascii="宋体" w:hAnsi="宋体" w:eastAsia="宋体" w:cs="宋体"/>
          <w:b/>
          <w:bCs/>
          <w:sz w:val="28"/>
          <w:szCs w:val="32"/>
          <w:lang w:val="zh-CN"/>
        </w:rPr>
      </w:pPr>
      <w:r>
        <w:rPr>
          <w:rFonts w:hint="eastAsia" w:ascii="仿宋_GB2312" w:hAnsi="仿宋_GB2312" w:eastAsia="宋体" w:cs="仿宋_GB2312"/>
          <w:spacing w:val="0"/>
          <w:sz w:val="21"/>
        </w:rPr>
        <w:t>二、</w:t>
      </w:r>
      <w:r>
        <w:rPr>
          <w:rFonts w:hint="eastAsia" w:ascii="宋体" w:hAnsi="宋体" w:eastAsia="宋体" w:cs="宋体"/>
          <w:b/>
          <w:bCs/>
          <w:sz w:val="28"/>
          <w:szCs w:val="32"/>
          <w:lang w:val="zh-CN"/>
        </w:rPr>
        <w:t>污水处理设施运营管理服务合同期限</w:t>
      </w:r>
    </w:p>
    <w:p>
      <w:pPr>
        <w:pStyle w:val="33"/>
        <w:ind w:firstLine="420"/>
        <w:rPr>
          <w:rFonts w:ascii="仿宋_GB2312" w:hAnsi="仿宋_GB2312" w:eastAsia="宋体" w:cs="仿宋_GB2312"/>
          <w:spacing w:val="0"/>
          <w:sz w:val="21"/>
        </w:rPr>
      </w:pPr>
      <w:r>
        <w:rPr>
          <w:rFonts w:hint="eastAsia" w:ascii="仿宋_GB2312" w:hAnsi="仿宋_GB2312" w:eastAsia="宋体" w:cs="仿宋_GB2312"/>
          <w:spacing w:val="0"/>
          <w:sz w:val="21"/>
        </w:rPr>
        <w:t>本合同期限为</w:t>
      </w:r>
      <w:r>
        <w:rPr>
          <w:rFonts w:ascii="仿宋_GB2312" w:hAnsi="仿宋_GB2312" w:eastAsia="宋体" w:cs="仿宋_GB2312"/>
          <w:spacing w:val="0"/>
          <w:sz w:val="21"/>
        </w:rPr>
        <w:t>壹</w:t>
      </w:r>
      <w:r>
        <w:rPr>
          <w:rFonts w:hint="eastAsia" w:ascii="仿宋_GB2312" w:hAnsi="仿宋_GB2312" w:eastAsia="宋体" w:cs="仿宋_GB2312"/>
          <w:spacing w:val="0"/>
          <w:sz w:val="21"/>
        </w:rPr>
        <w:t>年，自   年  月   日起。本合同在第一次期限到期后供需双方均无异议，可续签</w:t>
      </w:r>
      <w:r>
        <w:rPr>
          <w:rFonts w:ascii="仿宋_GB2312" w:hAnsi="仿宋_GB2312" w:eastAsia="宋体" w:cs="仿宋_GB2312"/>
          <w:spacing w:val="0"/>
          <w:sz w:val="21"/>
        </w:rPr>
        <w:t>壹</w:t>
      </w:r>
      <w:r>
        <w:rPr>
          <w:rFonts w:hint="eastAsia" w:ascii="仿宋_GB2312" w:hAnsi="仿宋_GB2312" w:eastAsia="宋体" w:cs="仿宋_GB2312"/>
          <w:spacing w:val="0"/>
          <w:sz w:val="21"/>
        </w:rPr>
        <w:t>年期限的合同，最长合同期限为</w:t>
      </w:r>
      <w:r>
        <w:rPr>
          <w:rFonts w:ascii="仿宋_GB2312" w:hAnsi="仿宋_GB2312" w:eastAsia="宋体" w:cs="仿宋_GB2312"/>
          <w:spacing w:val="0"/>
          <w:sz w:val="21"/>
        </w:rPr>
        <w:t>36</w:t>
      </w:r>
      <w:r>
        <w:rPr>
          <w:rFonts w:hint="eastAsia" w:ascii="仿宋_GB2312" w:hAnsi="仿宋_GB2312" w:eastAsia="宋体" w:cs="仿宋_GB2312"/>
          <w:spacing w:val="0"/>
          <w:sz w:val="21"/>
        </w:rPr>
        <w:t>个月（包含本次服务期限）。第</w:t>
      </w:r>
      <w:r>
        <w:rPr>
          <w:rFonts w:ascii="仿宋_GB2312" w:hAnsi="仿宋_GB2312" w:eastAsia="宋体" w:cs="仿宋_GB2312"/>
          <w:spacing w:val="0"/>
          <w:sz w:val="21"/>
        </w:rPr>
        <w:t>1</w:t>
      </w:r>
      <w:r>
        <w:rPr>
          <w:rFonts w:hint="eastAsia" w:ascii="仿宋_GB2312" w:hAnsi="仿宋_GB2312" w:eastAsia="宋体" w:cs="仿宋_GB2312"/>
          <w:spacing w:val="0"/>
          <w:sz w:val="21"/>
        </w:rPr>
        <w:t>年合同期限结束后，任何一方都可在到期日前要求本协议到期后自动终止，但必须在本协议到期日之前至少提前三个月书面通知对方。</w:t>
      </w:r>
    </w:p>
    <w:p>
      <w:pPr>
        <w:pStyle w:val="33"/>
        <w:ind w:firstLine="0" w:firstLineChars="0"/>
        <w:rPr>
          <w:rFonts w:ascii="方正仿宋_GBK" w:hAnsi="宋体" w:eastAsia="方正仿宋_GBK"/>
          <w:color w:val="000000" w:themeColor="text1"/>
          <w:spacing w:val="0"/>
          <w:sz w:val="24"/>
        </w:rPr>
      </w:pPr>
      <w:r>
        <w:rPr>
          <w:rFonts w:hint="eastAsia" w:ascii="宋体" w:hAnsi="宋体" w:cs="宋体"/>
          <w:kern w:val="0"/>
          <w:sz w:val="28"/>
          <w:szCs w:val="28"/>
        </w:rPr>
        <w:t>三、</w:t>
      </w:r>
      <w:r>
        <w:rPr>
          <w:rFonts w:hint="eastAsia" w:ascii="宋体" w:hAnsi="宋体" w:eastAsia="宋体" w:cs="宋体"/>
          <w:b/>
          <w:bCs/>
          <w:sz w:val="28"/>
          <w:szCs w:val="32"/>
          <w:lang w:val="zh-CN"/>
        </w:rPr>
        <w:t>管理服务要求</w:t>
      </w:r>
    </w:p>
    <w:p>
      <w:pPr>
        <w:tabs>
          <w:tab w:val="left" w:pos="0"/>
        </w:tabs>
        <w:spacing w:line="276" w:lineRule="auto"/>
        <w:ind w:firstLine="420" w:firstLineChars="200"/>
        <w:rPr>
          <w:rFonts w:ascii="仿宋_GB2312" w:hAnsi="仿宋_GB2312" w:cs="仿宋_GB2312"/>
        </w:rPr>
      </w:pPr>
      <w:r>
        <w:rPr>
          <w:rFonts w:hint="eastAsia" w:ascii="仿宋_GB2312" w:hAnsi="仿宋_GB2312" w:cs="仿宋_GB2312"/>
        </w:rPr>
        <w:t>（1）建立健全污水处理站管理制度、交接班制度、运营、维修、安全技术操作规程。</w:t>
      </w:r>
    </w:p>
    <w:p>
      <w:pPr>
        <w:tabs>
          <w:tab w:val="left" w:pos="0"/>
        </w:tabs>
        <w:spacing w:line="276" w:lineRule="auto"/>
        <w:ind w:firstLine="480"/>
        <w:rPr>
          <w:rFonts w:ascii="仿宋_GB2312" w:hAnsi="仿宋_GB2312" w:cs="仿宋_GB2312"/>
        </w:rPr>
      </w:pPr>
      <w:r>
        <w:rPr>
          <w:rFonts w:hint="eastAsia" w:ascii="仿宋_GB2312" w:hAnsi="仿宋_GB2312" w:cs="仿宋_GB2312"/>
        </w:rPr>
        <w:t>2）建立切实可行的设备设施维护维修制度、应急预案、应急管理制度、安排每年不少于1次的应急工作预防演练。</w:t>
      </w:r>
    </w:p>
    <w:p>
      <w:pPr>
        <w:tabs>
          <w:tab w:val="left" w:pos="0"/>
        </w:tabs>
        <w:spacing w:line="276" w:lineRule="auto"/>
        <w:ind w:firstLine="480"/>
        <w:rPr>
          <w:rFonts w:ascii="仿宋_GB2312" w:hAnsi="仿宋_GB2312" w:cs="仿宋_GB2312"/>
        </w:rPr>
      </w:pPr>
      <w:r>
        <w:rPr>
          <w:rFonts w:hint="eastAsia" w:ascii="仿宋_GB2312" w:hAnsi="仿宋_GB2312" w:cs="仿宋_GB2312"/>
        </w:rPr>
        <w:t>（3）建立健全安全管理体系，完善并制作污水站现场的安全警示标识、设备工艺标识</w:t>
      </w:r>
    </w:p>
    <w:p>
      <w:pPr>
        <w:tabs>
          <w:tab w:val="left" w:pos="0"/>
        </w:tabs>
        <w:spacing w:line="276" w:lineRule="auto"/>
        <w:ind w:firstLine="480"/>
        <w:rPr>
          <w:rFonts w:ascii="仿宋_GB2312" w:hAnsi="仿宋_GB2312" w:cs="仿宋_GB2312"/>
        </w:rPr>
      </w:pPr>
      <w:r>
        <w:rPr>
          <w:rFonts w:hint="eastAsia" w:ascii="仿宋_GB2312" w:hAnsi="仿宋_GB2312" w:cs="仿宋_GB2312"/>
        </w:rPr>
        <w:t>（4）定期对员工进行业务培训、管理培训及知识更新。</w:t>
      </w:r>
    </w:p>
    <w:p>
      <w:pPr>
        <w:tabs>
          <w:tab w:val="left" w:pos="0"/>
        </w:tabs>
        <w:spacing w:line="276" w:lineRule="auto"/>
        <w:ind w:firstLine="480"/>
        <w:rPr>
          <w:rFonts w:ascii="仿宋_GB2312" w:hAnsi="仿宋_GB2312" w:cs="仿宋_GB2312"/>
        </w:rPr>
      </w:pPr>
      <w:r>
        <w:rPr>
          <w:rFonts w:hint="eastAsia" w:ascii="仿宋_GB2312" w:hAnsi="仿宋_GB2312" w:cs="仿宋_GB2312"/>
        </w:rPr>
        <w:t>（5）制定操作工、维修工、项目负责人常规考核办法。</w:t>
      </w:r>
    </w:p>
    <w:p>
      <w:pPr>
        <w:tabs>
          <w:tab w:val="left" w:pos="0"/>
        </w:tabs>
        <w:spacing w:line="276" w:lineRule="auto"/>
        <w:ind w:firstLine="480"/>
        <w:rPr>
          <w:rFonts w:ascii="仿宋_GB2312" w:hAnsi="仿宋_GB2312" w:cs="仿宋_GB2312"/>
        </w:rPr>
      </w:pPr>
      <w:r>
        <w:rPr>
          <w:rFonts w:hint="eastAsia" w:ascii="仿宋_GB2312" w:hAnsi="仿宋_GB2312" w:cs="仿宋_GB2312"/>
        </w:rPr>
        <w:t>（6）污水处理站的运行日志、监测记录、维修记录、药品购买、使用记录、污泥消毒记录、水质监测送检记录、污水排放记录表等各类台帐由服务商制作、详实记录、装订并妥善保存。</w:t>
      </w:r>
    </w:p>
    <w:p>
      <w:pPr>
        <w:tabs>
          <w:tab w:val="left" w:pos="0"/>
        </w:tabs>
        <w:spacing w:line="276" w:lineRule="auto"/>
        <w:ind w:firstLine="480"/>
        <w:rPr>
          <w:rFonts w:ascii="仿宋_GB2312" w:hAnsi="仿宋_GB2312" w:cs="仿宋_GB2312"/>
        </w:rPr>
      </w:pPr>
      <w:r>
        <w:rPr>
          <w:rFonts w:hint="eastAsia" w:ascii="仿宋_GB2312" w:hAnsi="仿宋_GB2312" w:cs="仿宋_GB2312"/>
        </w:rPr>
        <w:t>（7）在运营期内，服务商随时接受各级部门的监督检查工作，按要求提供检查资料，并在规定时间内对检查中发现的问题进行整改。</w:t>
      </w:r>
    </w:p>
    <w:p>
      <w:pPr>
        <w:tabs>
          <w:tab w:val="left" w:pos="0"/>
        </w:tabs>
        <w:spacing w:line="276" w:lineRule="auto"/>
        <w:ind w:firstLine="480"/>
        <w:rPr>
          <w:rFonts w:ascii="仿宋_GB2312" w:hAnsi="仿宋_GB2312" w:cs="仿宋_GB2312"/>
        </w:rPr>
      </w:pPr>
      <w:r>
        <w:rPr>
          <w:rFonts w:hint="eastAsia" w:ascii="仿宋_GB2312" w:hAnsi="仿宋_GB2312" w:cs="仿宋_GB2312"/>
        </w:rPr>
        <w:t>（8）每年年终进行一次工作总结，以书面形式递交采购人。</w:t>
      </w:r>
    </w:p>
    <w:p>
      <w:pPr>
        <w:tabs>
          <w:tab w:val="left" w:pos="0"/>
        </w:tabs>
        <w:spacing w:line="276" w:lineRule="auto"/>
        <w:ind w:firstLine="480"/>
        <w:rPr>
          <w:rFonts w:ascii="仿宋_GB2312" w:hAnsi="仿宋_GB2312" w:cs="仿宋_GB2312"/>
        </w:rPr>
      </w:pPr>
      <w:r>
        <w:rPr>
          <w:rFonts w:hint="eastAsia" w:ascii="仿宋_GB2312" w:hAnsi="仿宋_GB2312" w:cs="仿宋_GB2312"/>
        </w:rPr>
        <w:t>（9）随时保持污水站值班室、操作间、药品库房干净整洁，每月不少于1次对周围环境进行大扫除，对有锈蚀的管道或设备进行刷漆，保持设备、墙面干净整洁。</w:t>
      </w:r>
    </w:p>
    <w:p>
      <w:pPr>
        <w:rPr>
          <w:rFonts w:ascii="仿宋_GB2312" w:hAnsi="仿宋_GB2312" w:cs="仿宋_GB2312"/>
        </w:rPr>
      </w:pPr>
      <w:r>
        <w:rPr>
          <w:rFonts w:hint="eastAsia" w:ascii="仿宋_GB2312" w:hAnsi="仿宋_GB2312" w:cs="仿宋_GB2312"/>
        </w:rPr>
        <w:t>（10）服务商须针对现场技术要求提供污水处理设施设备《运营技术方案》和《运营管理方案》。</w:t>
      </w:r>
    </w:p>
    <w:p>
      <w:pPr>
        <w:tabs>
          <w:tab w:val="left" w:pos="0"/>
        </w:tabs>
        <w:spacing w:line="276" w:lineRule="auto"/>
        <w:ind w:firstLine="480"/>
        <w:rPr>
          <w:rFonts w:ascii="Arial" w:hAnsi="Arial"/>
          <w:b/>
          <w:bCs/>
          <w:sz w:val="28"/>
          <w:szCs w:val="32"/>
          <w:lang w:val="zh-CN"/>
        </w:rPr>
      </w:pPr>
      <w:r>
        <w:rPr>
          <w:rFonts w:hint="eastAsia" w:ascii="Arial" w:hAnsi="Arial"/>
          <w:b/>
          <w:bCs/>
          <w:sz w:val="28"/>
          <w:szCs w:val="32"/>
          <w:lang w:val="zh-CN"/>
        </w:rPr>
        <w:t>四、设备设施维修维护要求</w:t>
      </w:r>
    </w:p>
    <w:p>
      <w:pPr>
        <w:tabs>
          <w:tab w:val="left" w:pos="0"/>
        </w:tabs>
        <w:spacing w:line="276" w:lineRule="auto"/>
        <w:ind w:firstLine="480"/>
        <w:rPr>
          <w:rFonts w:ascii="仿宋_GB2312" w:hAnsi="仿宋_GB2312" w:cs="仿宋_GB2312"/>
        </w:rPr>
      </w:pPr>
      <w:r>
        <w:rPr>
          <w:rFonts w:hint="eastAsia" w:ascii="仿宋_GB2312" w:hAnsi="仿宋_GB2312" w:cs="仿宋_GB2312"/>
        </w:rPr>
        <w:t>★（1）采购人自有设备服务商负责更换正常使用损坏的部件（</w:t>
      </w:r>
      <w:r>
        <w:rPr>
          <w:rFonts w:hint="eastAsia"/>
        </w:rPr>
        <w:t>单件设备</w:t>
      </w:r>
      <w:r>
        <w:rPr>
          <w:rFonts w:hint="eastAsia" w:ascii="仿宋_GB2312" w:hAnsi="仿宋_GB2312" w:cs="仿宋_GB2312"/>
        </w:rPr>
        <w:t>500元（含500）</w:t>
      </w:r>
      <w:r>
        <w:rPr>
          <w:rFonts w:hint="eastAsia"/>
        </w:rPr>
        <w:t>以内的由供应商承担，</w:t>
      </w:r>
      <w:r>
        <w:rPr>
          <w:rFonts w:hint="eastAsia" w:ascii="仿宋_GB2312" w:hAnsi="仿宋_GB2312" w:cs="仿宋_GB2312"/>
        </w:rPr>
        <w:t>500元以上</w:t>
      </w:r>
      <w:r>
        <w:rPr>
          <w:rFonts w:hint="eastAsia"/>
        </w:rPr>
        <w:t>的超出部分经采购人许可后凭发票由采购人承担）</w:t>
      </w:r>
      <w:r>
        <w:rPr>
          <w:rFonts w:hint="eastAsia" w:ascii="仿宋_GB2312" w:hAnsi="仿宋_GB2312" w:cs="仿宋_GB2312"/>
        </w:rPr>
        <w:t>，服务商自行提供的设施设备采购人不承担任何维修费用。</w:t>
      </w:r>
    </w:p>
    <w:p>
      <w:pPr>
        <w:widowControl/>
        <w:numPr>
          <w:ilvl w:val="0"/>
          <w:numId w:val="2"/>
        </w:numPr>
        <w:tabs>
          <w:tab w:val="left" w:pos="0"/>
        </w:tabs>
        <w:spacing w:line="276" w:lineRule="auto"/>
        <w:ind w:firstLine="420" w:firstLineChars="200"/>
        <w:jc w:val="left"/>
        <w:rPr>
          <w:rFonts w:ascii="仿宋_GB2312" w:hAnsi="仿宋_GB2312" w:cs="仿宋_GB2312"/>
        </w:rPr>
      </w:pPr>
      <w:r>
        <w:rPr>
          <w:rFonts w:hint="eastAsia" w:ascii="仿宋_GB2312" w:hAnsi="仿宋_GB2312" w:cs="仿宋_GB2312"/>
        </w:rPr>
        <w:t>采购人</w:t>
      </w:r>
      <w:r>
        <w:rPr>
          <w:rFonts w:hint="eastAsia" w:ascii="仿宋_GB2312" w:hAnsi="仿宋_GB2312" w:cs="仿宋_GB2312"/>
          <w:bCs/>
        </w:rPr>
        <w:t>现有设施和设备不再另行增加（具体设备配置情况请投标单位现场核实，采购方不统一组织勘察，但投标人必须确保在现有设备及状态下保证污水处理系统正常运行和达标排放），服务商所需所差设施设备（如药剂投加设备，泵等）自行提供与解决，采购人不予提供。</w:t>
      </w:r>
    </w:p>
    <w:p>
      <w:pPr>
        <w:tabs>
          <w:tab w:val="left" w:pos="0"/>
        </w:tabs>
        <w:spacing w:line="276" w:lineRule="auto"/>
        <w:ind w:firstLine="480"/>
        <w:rPr>
          <w:rFonts w:ascii="仿宋_GB2312" w:hAnsi="仿宋_GB2312" w:cs="仿宋_GB2312"/>
        </w:rPr>
      </w:pPr>
      <w:r>
        <w:rPr>
          <w:rFonts w:hint="eastAsia" w:ascii="仿宋_GB2312" w:hAnsi="仿宋_GB2312" w:cs="仿宋_GB2312"/>
        </w:rPr>
        <w:t>（3）采购人不另外支付设备维修劳务费及设备运行耗材的费用。</w:t>
      </w:r>
    </w:p>
    <w:p>
      <w:pPr>
        <w:tabs>
          <w:tab w:val="left" w:pos="0"/>
        </w:tabs>
        <w:spacing w:line="276" w:lineRule="auto"/>
        <w:ind w:firstLine="480"/>
        <w:rPr>
          <w:rFonts w:ascii="仿宋_GB2312" w:hAnsi="仿宋_GB2312" w:cs="仿宋_GB2312"/>
        </w:rPr>
      </w:pPr>
      <w:r>
        <w:rPr>
          <w:rFonts w:hint="eastAsia" w:ascii="仿宋_GB2312" w:hAnsi="仿宋_GB2312" w:cs="仿宋_GB2312"/>
        </w:rPr>
        <w:t>（4）移交服务商运营的设备，经双方鉴定无法运行设施设备，第一次维修或购置新设备更换费用由采购人承担。</w:t>
      </w:r>
    </w:p>
    <w:p>
      <w:pPr>
        <w:tabs>
          <w:tab w:val="left" w:pos="0"/>
        </w:tabs>
        <w:spacing w:line="276" w:lineRule="auto"/>
        <w:ind w:firstLine="480"/>
        <w:rPr>
          <w:rFonts w:ascii="仿宋_GB2312" w:hAnsi="仿宋_GB2312" w:cs="仿宋_GB2312"/>
        </w:rPr>
      </w:pPr>
      <w:r>
        <w:rPr>
          <w:rFonts w:hint="eastAsia" w:ascii="仿宋_GB2312" w:hAnsi="仿宋_GB2312" w:cs="仿宋_GB2312"/>
        </w:rPr>
        <w:t>（5）为保证污水处理站全部设备的正常运转，保持其良好状况，服务商必须按设备管理和安全操作规程使用设备外，必须严格遵守有关维护保养制度。</w:t>
      </w:r>
    </w:p>
    <w:p>
      <w:pPr>
        <w:tabs>
          <w:tab w:val="left" w:pos="0"/>
        </w:tabs>
        <w:spacing w:line="276" w:lineRule="auto"/>
        <w:ind w:firstLine="480"/>
        <w:rPr>
          <w:rFonts w:ascii="仿宋_GB2312" w:hAnsi="仿宋_GB2312" w:cs="仿宋_GB2312"/>
        </w:rPr>
      </w:pPr>
      <w:r>
        <w:rPr>
          <w:rFonts w:hint="eastAsia" w:ascii="仿宋_GB2312" w:hAnsi="仿宋_GB2312" w:cs="仿宋_GB2312"/>
        </w:rPr>
        <w:t>（6）在运营托管期内，服务商应根据确定的维护和大修计划，对项目设施定期进行例行大修。</w:t>
      </w:r>
    </w:p>
    <w:p>
      <w:pPr>
        <w:tabs>
          <w:tab w:val="left" w:pos="0"/>
        </w:tabs>
        <w:spacing w:line="276" w:lineRule="auto"/>
        <w:ind w:firstLine="480"/>
        <w:rPr>
          <w:rFonts w:ascii="仿宋_GB2312" w:hAnsi="仿宋_GB2312" w:cs="仿宋_GB2312"/>
        </w:rPr>
      </w:pPr>
      <w:r>
        <w:rPr>
          <w:rFonts w:hint="eastAsia" w:ascii="仿宋_GB2312" w:hAnsi="仿宋_GB2312" w:cs="仿宋_GB2312"/>
        </w:rPr>
        <w:t>（7）服务商承诺应在现场备一定数量的日常运行所需的备品备件、常用维修工具、劳保防护用品。</w:t>
      </w:r>
    </w:p>
    <w:p>
      <w:pPr>
        <w:tabs>
          <w:tab w:val="left" w:pos="0"/>
        </w:tabs>
        <w:spacing w:line="276" w:lineRule="auto"/>
        <w:ind w:firstLine="480"/>
        <w:rPr>
          <w:rFonts w:ascii="Arial" w:hAnsi="Arial"/>
          <w:b/>
          <w:bCs/>
          <w:sz w:val="28"/>
          <w:szCs w:val="32"/>
          <w:lang w:val="zh-CN"/>
        </w:rPr>
      </w:pPr>
      <w:r>
        <w:rPr>
          <w:rFonts w:hint="eastAsia" w:ascii="Arial" w:hAnsi="Arial"/>
          <w:b/>
          <w:bCs/>
          <w:sz w:val="28"/>
          <w:szCs w:val="32"/>
          <w:lang w:val="zh-CN"/>
        </w:rPr>
        <w:t>五、药剂、活性炭等相关要求</w:t>
      </w:r>
    </w:p>
    <w:p>
      <w:pPr>
        <w:snapToGrid w:val="0"/>
        <w:ind w:firstLine="480"/>
        <w:rPr>
          <w:rFonts w:ascii="仿宋_GB2312" w:hAnsi="仿宋_GB2312" w:cs="仿宋_GB2312"/>
          <w:szCs w:val="30"/>
        </w:rPr>
      </w:pPr>
      <w:r>
        <w:rPr>
          <w:rFonts w:hint="eastAsia" w:ascii="仿宋_GB2312" w:hAnsi="仿宋_GB2312" w:cs="仿宋_GB2312"/>
          <w:szCs w:val="30"/>
        </w:rPr>
        <w:t>（1）服务商负责购买质量合格的药剂（必须适用于医院污水处理消毒杀菌），并留存相关原始购买记录备查。</w:t>
      </w:r>
    </w:p>
    <w:p>
      <w:pPr>
        <w:snapToGrid w:val="0"/>
        <w:ind w:firstLine="480"/>
        <w:rPr>
          <w:rFonts w:ascii="仿宋_GB2312" w:hAnsi="仿宋_GB2312" w:cs="仿宋_GB2312"/>
          <w:color w:val="252525" w:themeColor="text1" w:themeTint="D9"/>
          <w:szCs w:val="30"/>
        </w:rPr>
      </w:pPr>
      <w:r>
        <w:rPr>
          <w:rFonts w:hint="eastAsia" w:ascii="仿宋_GB2312" w:hAnsi="仿宋_GB2312" w:cs="仿宋_GB2312"/>
          <w:color w:val="252525" w:themeColor="text1" w:themeTint="D9"/>
          <w:szCs w:val="30"/>
        </w:rPr>
        <w:t>（2）服务商采用资质齐全的合格消毒药剂。</w:t>
      </w:r>
    </w:p>
    <w:p>
      <w:pPr>
        <w:snapToGrid w:val="0"/>
        <w:ind w:firstLine="480"/>
        <w:rPr>
          <w:rFonts w:ascii="仿宋_GB2312" w:hAnsi="仿宋_GB2312" w:cs="仿宋_GB2312"/>
          <w:szCs w:val="30"/>
        </w:rPr>
      </w:pPr>
      <w:r>
        <w:rPr>
          <w:rFonts w:hint="eastAsia" w:ascii="仿宋_GB2312" w:hAnsi="仿宋_GB2312" w:cs="仿宋_GB2312"/>
          <w:color w:val="252525" w:themeColor="text1" w:themeTint="D9"/>
          <w:szCs w:val="30"/>
        </w:rPr>
        <w:t>（3）服务商负责药品药剂的投放工作，确保污水站水质</w:t>
      </w:r>
      <w:r>
        <w:rPr>
          <w:rFonts w:hint="eastAsia" w:ascii="仿宋_GB2312" w:hAnsi="仿宋_GB2312" w:cs="仿宋_GB2312"/>
          <w:szCs w:val="30"/>
        </w:rPr>
        <w:t>达标排放并做好药品投放记录。</w:t>
      </w:r>
    </w:p>
    <w:p>
      <w:pPr>
        <w:snapToGrid w:val="0"/>
        <w:ind w:firstLine="480"/>
        <w:rPr>
          <w:rFonts w:ascii="仿宋_GB2312" w:hAnsi="仿宋_GB2312" w:cs="仿宋_GB2312"/>
          <w:szCs w:val="30"/>
        </w:rPr>
      </w:pPr>
      <w:r>
        <w:rPr>
          <w:rFonts w:hint="eastAsia" w:ascii="仿宋_GB2312" w:hAnsi="仿宋_GB2312" w:cs="仿宋_GB2312"/>
          <w:szCs w:val="30"/>
        </w:rPr>
        <w:t>（4）服务商定期更换除臭箱内的活性炭（更换频次：一年两次），更换下来的废渣按照危险废物管理要求进行打包，</w:t>
      </w:r>
      <w:r>
        <w:rPr>
          <w:rFonts w:hint="eastAsia" w:ascii="仿宋_GB2312" w:hAnsi="仿宋_GB2312" w:cs="仿宋_GB2312"/>
        </w:rPr>
        <w:t>由服务商交于第三方具有专业资质的公司进行处置，并将转运联单及处置报告给采购人存档。</w:t>
      </w:r>
    </w:p>
    <w:p>
      <w:pPr>
        <w:tabs>
          <w:tab w:val="left" w:pos="0"/>
        </w:tabs>
        <w:spacing w:line="276" w:lineRule="auto"/>
        <w:ind w:firstLine="480"/>
        <w:rPr>
          <w:rFonts w:ascii="仿宋_GB2312" w:hAnsi="仿宋_GB2312" w:cs="仿宋_GB2312"/>
        </w:rPr>
      </w:pPr>
      <w:r>
        <w:rPr>
          <w:rFonts w:hint="eastAsia" w:ascii="仿宋_GB2312" w:hAnsi="仿宋_GB2312" w:cs="仿宋_GB2312"/>
        </w:rPr>
        <w:t>（5）服务商原则上不得使用危险化学药剂，若需使用，须先向采购人申请，经采购人综合评估后同意使用才可投入使用；且服务商必须做好相关管理及安全措施，若使用危险化学药剂造成事故，一切责任由服务商承担。</w:t>
      </w:r>
    </w:p>
    <w:p>
      <w:pPr>
        <w:tabs>
          <w:tab w:val="left" w:pos="0"/>
        </w:tabs>
        <w:spacing w:line="276" w:lineRule="auto"/>
        <w:ind w:firstLine="480"/>
        <w:rPr>
          <w:rFonts w:ascii="仿宋_GB2312" w:hAnsi="仿宋_GB2312" w:cs="仿宋_GB2312"/>
        </w:rPr>
      </w:pPr>
      <w:r>
        <w:rPr>
          <w:rFonts w:hint="eastAsia" w:ascii="仿宋_GB2312" w:hAnsi="仿宋_GB2312" w:cs="仿宋_GB2312"/>
        </w:rPr>
        <w:t>（6）服务商采购的药剂过期未使用，由服务商按废弃危险化学品进行处置，采购人不予负责。</w:t>
      </w:r>
    </w:p>
    <w:p>
      <w:pPr>
        <w:tabs>
          <w:tab w:val="left" w:pos="0"/>
        </w:tabs>
        <w:spacing w:line="276" w:lineRule="auto"/>
        <w:ind w:firstLine="480"/>
        <w:rPr>
          <w:rFonts w:ascii="仿宋_GB2312" w:hAnsi="仿宋_GB2312" w:cs="仿宋_GB2312"/>
        </w:rPr>
      </w:pPr>
      <w:r>
        <w:rPr>
          <w:rFonts w:hint="eastAsia" w:ascii="仿宋_GB2312" w:hAnsi="仿宋_GB2312" w:cs="仿宋_GB2312"/>
        </w:rPr>
        <w:t>（7）服务商对污水站使用的药剂要留有一月的库存量，不得出现断货，无法加药的情况。</w:t>
      </w:r>
    </w:p>
    <w:p>
      <w:pPr>
        <w:tabs>
          <w:tab w:val="left" w:pos="0"/>
        </w:tabs>
        <w:spacing w:line="276" w:lineRule="auto"/>
        <w:ind w:firstLine="480"/>
        <w:rPr>
          <w:rFonts w:ascii="仿宋_GB2312" w:hAnsi="仿宋_GB2312" w:cs="仿宋_GB2312"/>
        </w:rPr>
      </w:pPr>
      <w:r>
        <w:rPr>
          <w:rFonts w:hint="eastAsia" w:ascii="仿宋_GB2312" w:hAnsi="仿宋_GB2312" w:cs="仿宋_GB2312"/>
        </w:rPr>
        <w:t>（8）服务商负责药品库房的规范化管理，分类规放，干净整洁，台帐清晰。</w:t>
      </w:r>
    </w:p>
    <w:p>
      <w:pPr>
        <w:widowControl/>
        <w:tabs>
          <w:tab w:val="left" w:pos="0"/>
        </w:tabs>
        <w:spacing w:line="276" w:lineRule="auto"/>
        <w:jc w:val="left"/>
        <w:rPr>
          <w:rFonts w:ascii="Arial" w:hAnsi="Arial"/>
          <w:b/>
          <w:bCs/>
          <w:sz w:val="28"/>
          <w:szCs w:val="32"/>
          <w:lang w:val="zh-CN"/>
        </w:rPr>
      </w:pPr>
      <w:r>
        <w:rPr>
          <w:rFonts w:hint="eastAsia" w:ascii="Arial" w:hAnsi="Arial"/>
          <w:b/>
          <w:bCs/>
          <w:sz w:val="28"/>
          <w:szCs w:val="32"/>
          <w:lang w:val="zh-CN"/>
        </w:rPr>
        <w:t>六、现场人员基本配置要求</w:t>
      </w:r>
    </w:p>
    <w:p>
      <w:pPr>
        <w:widowControl/>
        <w:tabs>
          <w:tab w:val="left" w:pos="0"/>
        </w:tabs>
        <w:spacing w:line="276" w:lineRule="auto"/>
        <w:jc w:val="left"/>
        <w:rPr>
          <w:rFonts w:ascii="宋体" w:hAnsi="宋体"/>
          <w:b/>
          <w:sz w:val="24"/>
        </w:rPr>
      </w:pPr>
      <w:r>
        <w:rPr>
          <w:rFonts w:hint="eastAsia" w:ascii="宋体" w:hAnsi="宋体"/>
          <w:b/>
          <w:sz w:val="24"/>
        </w:rPr>
        <w:t>1、项目负责人</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1）需具有《污水处理工证》，且从事污水处理工作2年及以上工作经验。负责现场工作的安排及协调，劳动力组织；安全及消防管理；负责操作人员日常工作的检查及考核；负责现场维检修方案的制定及实施的落实；维检修的人员协调；</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2）了解业主污水处理工艺，熟悉国家环保相关法律法规、行业规定及流程。负责水质取样送检的督促和监督；负责现场采购计划的报批以及采购物资的出入库办理；负责每月污水站基础数据的统计及分析，现场资料的收集及整理；</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3）具有良好的沟通能力以及现场协调能力，具有一定的现场管理经验。负责人员的定期业务培训、管理培训、知识更新培训；负责每年不低于两次应急演练的方案编制及演练实施；负责落实业主临时交代的工作任务。</w:t>
      </w:r>
    </w:p>
    <w:p>
      <w:pPr>
        <w:tabs>
          <w:tab w:val="left" w:pos="0"/>
        </w:tabs>
        <w:spacing w:line="276" w:lineRule="auto"/>
        <w:rPr>
          <w:rFonts w:ascii="宋体" w:hAnsi="宋体"/>
          <w:b/>
          <w:sz w:val="24"/>
        </w:rPr>
      </w:pPr>
      <w:r>
        <w:rPr>
          <w:rFonts w:hint="eastAsia" w:ascii="宋体" w:hAnsi="宋体"/>
          <w:b/>
          <w:sz w:val="24"/>
        </w:rPr>
        <w:t>2、污水操作工</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（1）操作人员必须持证上岗《污水处理工证》）；负责污水处理站的日常运行工作。负责化粪池、工艺水池的巡检巡查；设备设施的巡检、维修、维护；</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（2）上岗前必须进行体检，取得合格体检报告，体检报告交由业主一份进行存档备案。每天负责排污口水量大小及水质的观察，负责余氯及PH的每日不低于2次监测；</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（3）必须全面了解业主污水处理工艺，熟悉国家环保相关法律法规、行业规定及流程。负责每天药剂的投加以满足污水处理需要；</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（4）熟悉了解现场设备操作规程及维护保养方法。负责水样的提取及送检；负责每日运营现场及周边环境的清洁；</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（5）清楚熟悉每日工作内容。根据工作完成情况按要求做好记录。负责每日外排污水达标排放。</w:t>
      </w:r>
    </w:p>
    <w:p>
      <w:pPr>
        <w:tabs>
          <w:tab w:val="left" w:pos="0"/>
        </w:tabs>
        <w:spacing w:line="276" w:lineRule="auto"/>
        <w:ind w:firstLine="480"/>
        <w:rPr>
          <w:rFonts w:ascii="宋体" w:hAnsi="宋体"/>
          <w:b/>
          <w:sz w:val="24"/>
        </w:rPr>
      </w:pPr>
      <w:r>
        <w:rPr>
          <w:rFonts w:hint="eastAsia" w:ascii="宋体" w:hAnsi="宋体"/>
          <w:b/>
          <w:sz w:val="24"/>
        </w:rPr>
        <w:t>3、技术负责人</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（1）需具有《污水处理工证》，且从事污水处理工作2年及以上工作经验。不定期进行现场运营巡查、检查，并根据检查发现的问题提出整改方案；</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（2）了解业主污水处理工艺，熟悉国家环保相关法律法规、行业规定及流程。</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（3）具有解决现场技术问题并提出合理解决方案的能力；审核现场提交的物资申请。现场及业主提出的技术问题的落实及书面反馈；</w:t>
      </w:r>
    </w:p>
    <w:p>
      <w:pPr>
        <w:tabs>
          <w:tab w:val="left" w:pos="0"/>
        </w:tabs>
        <w:spacing w:line="276" w:lineRule="auto"/>
        <w:ind w:firstLine="480"/>
        <w:rPr>
          <w:rFonts w:ascii="宋体" w:hAnsi="宋体"/>
          <w:b/>
          <w:sz w:val="24"/>
        </w:rPr>
      </w:pPr>
      <w:r>
        <w:rPr>
          <w:rFonts w:hint="eastAsia" w:ascii="宋体" w:hAnsi="宋体"/>
          <w:b/>
          <w:sz w:val="24"/>
        </w:rPr>
        <w:t>4、检修人员</w:t>
      </w:r>
    </w:p>
    <w:p>
      <w:pPr>
        <w:tabs>
          <w:tab w:val="left" w:pos="0"/>
        </w:tabs>
        <w:spacing w:line="276" w:lineRule="auto"/>
        <w:ind w:firstLine="480"/>
        <w:rPr>
          <w:rFonts w:ascii="仿宋_GB2312" w:hAnsi="仿宋_GB2312" w:cs="仿宋_GB2312"/>
          <w:kern w:val="0"/>
          <w:szCs w:val="21"/>
          <w:lang w:bidi="ar"/>
        </w:rPr>
      </w:pPr>
      <w:r>
        <w:rPr>
          <w:rFonts w:hint="eastAsia" w:ascii="仿宋_GB2312" w:hAnsi="仿宋_GB2312" w:cs="仿宋_GB2312"/>
          <w:kern w:val="0"/>
          <w:szCs w:val="21"/>
          <w:lang w:bidi="ar"/>
        </w:rPr>
        <w:t>由投标方自行配置，可不固定但需24小时响应，具有电工、焊工操作证，现场设备的维检修。</w:t>
      </w:r>
    </w:p>
    <w:p>
      <w:pPr>
        <w:tabs>
          <w:tab w:val="left" w:pos="0"/>
        </w:tabs>
        <w:spacing w:line="276" w:lineRule="auto"/>
        <w:ind w:firstLine="480"/>
        <w:rPr>
          <w:rFonts w:ascii="宋体" w:hAnsi="宋体"/>
          <w:b/>
          <w:sz w:val="24"/>
        </w:rPr>
      </w:pPr>
      <w:r>
        <w:rPr>
          <w:rFonts w:hint="eastAsia" w:ascii="宋体" w:hAnsi="宋体"/>
          <w:b/>
          <w:sz w:val="24"/>
        </w:rPr>
        <w:t>5、污水站设备管理操作员</w:t>
      </w:r>
    </w:p>
    <w:p>
      <w:pPr>
        <w:tabs>
          <w:tab w:val="left" w:pos="0"/>
        </w:tabs>
        <w:spacing w:line="276" w:lineRule="auto"/>
        <w:ind w:firstLine="480"/>
        <w:rPr>
          <w:rFonts w:ascii="仿宋_GB2312" w:hAnsi="仿宋_GB2312" w:cs="仿宋_GB2312"/>
        </w:rPr>
      </w:pPr>
      <w:r>
        <w:rPr>
          <w:rFonts w:hint="eastAsia" w:ascii="仿宋_GB2312" w:hAnsi="仿宋_GB2312" w:cs="仿宋_GB2312"/>
        </w:rPr>
        <w:t>统一着装上岗，服从服务商及采购人的管理制度。必须遵守医院的各项规章制度，服从采购人管理人员检查和监督。并且要保护好站内的一切公共设施、消防设施及保持站内及周边环境卫生，违者按采购人规定处罚。</w:t>
      </w:r>
    </w:p>
    <w:p>
      <w:pPr>
        <w:tabs>
          <w:tab w:val="left" w:pos="0"/>
        </w:tabs>
        <w:spacing w:line="276" w:lineRule="auto"/>
        <w:ind w:firstLine="480"/>
        <w:rPr>
          <w:rFonts w:ascii="宋体" w:hAnsi="宋体"/>
          <w:sz w:val="24"/>
        </w:rPr>
      </w:pPr>
      <w:r>
        <w:rPr>
          <w:rFonts w:hint="eastAsia" w:ascii="仿宋_GB2312" w:hAnsi="仿宋_GB2312" w:cs="仿宋_GB2312"/>
        </w:rPr>
        <w:t>上述人员可一人兼多个岗位，但总体团队不得低于2人，且提供所有人员的证书复印件及近三月在投标单位的社保证明，确认中标后在签订合同前向采购人提供所有人员健康体检报告备案</w:t>
      </w:r>
    </w:p>
    <w:p>
      <w:pPr>
        <w:tabs>
          <w:tab w:val="left" w:pos="0"/>
        </w:tabs>
        <w:spacing w:line="276" w:lineRule="auto"/>
        <w:ind w:firstLine="480"/>
        <w:rPr>
          <w:rFonts w:ascii="宋体" w:hAnsi="宋体"/>
          <w:b/>
          <w:sz w:val="24"/>
        </w:rPr>
      </w:pPr>
      <w:r>
        <w:rPr>
          <w:rFonts w:hint="eastAsia" w:ascii="宋体" w:hAnsi="宋体"/>
          <w:b/>
          <w:sz w:val="24"/>
        </w:rPr>
        <w:t>6、安全职业防护要求</w:t>
      </w:r>
    </w:p>
    <w:p>
      <w:pPr>
        <w:ind w:firstLine="480"/>
        <w:rPr>
          <w:rFonts w:ascii="仿宋_GB2312" w:hAnsi="仿宋_GB2312" w:cs="仿宋_GB2312"/>
        </w:rPr>
      </w:pPr>
      <w:r>
        <w:rPr>
          <w:rFonts w:hint="eastAsia" w:ascii="仿宋_GB2312" w:hAnsi="仿宋_GB2312" w:cs="仿宋_GB2312"/>
        </w:rPr>
        <w:t>（1）服务商配备至少两套安全防护用具（防护眼镜、塑胶手套、防毒面具、头套、防护服等、一次性手套等）及应急急救箱，费用由服务商负担。</w:t>
      </w:r>
    </w:p>
    <w:p>
      <w:pPr>
        <w:ind w:firstLine="480"/>
        <w:rPr>
          <w:rFonts w:ascii="仿宋_GB2312" w:hAnsi="仿宋_GB2312" w:cs="仿宋_GB2312"/>
        </w:rPr>
      </w:pPr>
      <w:r>
        <w:rPr>
          <w:rFonts w:hint="eastAsia" w:ascii="仿宋_GB2312" w:hAnsi="仿宋_GB2312" w:cs="仿宋_GB2312"/>
        </w:rPr>
        <w:t>（2）现场工作人员必须严格按照安全防护要求进行操作。</w:t>
      </w:r>
    </w:p>
    <w:p>
      <w:pPr>
        <w:ind w:firstLine="480"/>
        <w:rPr>
          <w:rFonts w:ascii="仿宋_GB2312" w:hAnsi="仿宋_GB2312" w:cs="仿宋_GB2312"/>
        </w:rPr>
      </w:pPr>
      <w:r>
        <w:rPr>
          <w:rFonts w:hint="eastAsia" w:ascii="仿宋_GB2312" w:hAnsi="仿宋_GB2312" w:cs="仿宋_GB2312"/>
        </w:rPr>
        <w:t>（3）现场工作人员人员必须掌握七步洗手法。</w:t>
      </w:r>
    </w:p>
    <w:p>
      <w:pPr>
        <w:tabs>
          <w:tab w:val="left" w:pos="0"/>
        </w:tabs>
        <w:spacing w:line="276" w:lineRule="auto"/>
        <w:ind w:firstLine="420" w:firstLineChars="200"/>
        <w:rPr>
          <w:rFonts w:ascii="仿宋_GB2312" w:hAnsi="仿宋_GB2312" w:cs="仿宋_GB2312"/>
        </w:rPr>
      </w:pPr>
      <w:r>
        <w:rPr>
          <w:rFonts w:hint="eastAsia" w:ascii="仿宋_GB2312" w:hAnsi="仿宋_GB2312" w:cs="仿宋_GB2312"/>
        </w:rPr>
        <w:t>（4）必须严格执行职业防护要求进行取样。</w:t>
      </w:r>
    </w:p>
    <w:p>
      <w:pPr>
        <w:tabs>
          <w:tab w:val="left" w:pos="0"/>
        </w:tabs>
        <w:spacing w:line="276" w:lineRule="auto"/>
        <w:ind w:firstLine="482" w:firstLineChars="200"/>
        <w:rPr>
          <w:rFonts w:ascii="宋体" w:hAnsi="宋体"/>
          <w:b/>
          <w:sz w:val="24"/>
        </w:rPr>
      </w:pPr>
      <w:r>
        <w:rPr>
          <w:rFonts w:hint="eastAsia" w:ascii="宋体" w:hAnsi="宋体"/>
          <w:b/>
          <w:sz w:val="24"/>
        </w:rPr>
        <w:t>7、人员工伤事故保险</w:t>
      </w:r>
    </w:p>
    <w:p>
      <w:pPr>
        <w:tabs>
          <w:tab w:val="left" w:pos="0"/>
        </w:tabs>
        <w:spacing w:line="276" w:lineRule="auto"/>
        <w:rPr>
          <w:rFonts w:ascii="宋体" w:hAnsi="宋体"/>
          <w:sz w:val="24"/>
        </w:rPr>
      </w:pPr>
      <w:r>
        <w:rPr>
          <w:rFonts w:hint="eastAsia" w:ascii="仿宋_GB2312" w:hAnsi="仿宋_GB2312" w:cs="仿宋_GB2312"/>
        </w:rPr>
        <w:t>★服务商应依照有关法律规定参加工伤保险，为其履行合同所雇佣的全部人员，缴纳工伤保险费。服务商因执行工作而造成采购人、服务商工作人员以及第三人损害的，由服务商承担全部责任。</w:t>
      </w:r>
    </w:p>
    <w:p>
      <w:pPr>
        <w:pStyle w:val="3"/>
        <w:spacing w:before="0" w:after="0" w:line="560" w:lineRule="exact"/>
        <w:rPr>
          <w:rFonts w:ascii="宋体" w:hAnsi="宋体" w:eastAsia="宋体"/>
          <w:bCs w:val="0"/>
          <w:sz w:val="24"/>
          <w:szCs w:val="24"/>
        </w:rPr>
      </w:pPr>
      <w:r>
        <w:rPr>
          <w:rFonts w:hint="eastAsia" w:ascii="宋体" w:hAnsi="宋体" w:eastAsia="宋体"/>
          <w:b w:val="0"/>
          <w:bCs w:val="0"/>
          <w:sz w:val="24"/>
          <w:szCs w:val="24"/>
        </w:rPr>
        <w:t>8</w:t>
      </w:r>
      <w:r>
        <w:rPr>
          <w:rFonts w:hint="eastAsia" w:ascii="宋体" w:hAnsi="宋体" w:eastAsia="宋体"/>
          <w:bCs w:val="0"/>
          <w:sz w:val="24"/>
          <w:szCs w:val="24"/>
        </w:rPr>
        <w:t>、技术要求</w:t>
      </w:r>
    </w:p>
    <w:p>
      <w:pPr>
        <w:ind w:firstLine="480"/>
        <w:rPr>
          <w:rFonts w:ascii="仿宋_GB2312" w:hAnsi="仿宋_GB2312" w:cs="仿宋_GB2312"/>
        </w:rPr>
      </w:pPr>
      <w:r>
        <w:rPr>
          <w:rFonts w:hint="eastAsia" w:ascii="仿宋_GB2312" w:hAnsi="仿宋_GB2312" w:cs="仿宋_GB2312"/>
        </w:rPr>
        <w:t>★运营质量执行依据：</w:t>
      </w:r>
    </w:p>
    <w:p>
      <w:pPr>
        <w:ind w:firstLine="480"/>
        <w:rPr>
          <w:rFonts w:ascii="仿宋_GB2312" w:hAnsi="仿宋_GB2312" w:cs="仿宋_GB2312"/>
        </w:rPr>
      </w:pPr>
      <w:r>
        <w:rPr>
          <w:rFonts w:hint="eastAsia" w:ascii="仿宋_GB2312" w:hAnsi="仿宋_GB2312" w:cs="仿宋_GB2312"/>
        </w:rPr>
        <w:t>（1）以上所有要求包括但不限于，在运营期间均需符合《医疗机构水污染物排放标准》(GB18466-2005)；</w:t>
      </w:r>
    </w:p>
    <w:p>
      <w:pPr>
        <w:ind w:firstLine="480"/>
        <w:rPr>
          <w:rFonts w:ascii="仿宋_GB2312" w:hAnsi="仿宋_GB2312" w:cs="仿宋_GB2312"/>
        </w:rPr>
      </w:pPr>
      <w:r>
        <w:rPr>
          <w:rFonts w:hint="eastAsia" w:ascii="仿宋_GB2312" w:hAnsi="仿宋_GB2312" w:cs="仿宋_GB2312"/>
        </w:rPr>
        <w:t>（2）</w:t>
      </w:r>
      <w:r>
        <w:rPr>
          <w:rFonts w:hint="eastAsia"/>
        </w:rPr>
        <w:t>废气实行有组织排放，执行标准《恶臭污染物排放标准》（G</w:t>
      </w:r>
      <w:r>
        <w:t>B14554-93</w:t>
      </w:r>
      <w:r>
        <w:rPr>
          <w:rFonts w:hint="eastAsia"/>
        </w:rPr>
        <w:t>）</w:t>
      </w:r>
      <w:r>
        <w:rPr>
          <w:rFonts w:hint="eastAsia" w:ascii="仿宋_GB2312" w:hAnsi="仿宋_GB2312" w:cs="仿宋_GB2312"/>
        </w:rPr>
        <w:t>；</w:t>
      </w:r>
    </w:p>
    <w:p>
      <w:pPr>
        <w:ind w:firstLine="480"/>
        <w:rPr>
          <w:rFonts w:ascii="仿宋_GB2312" w:hAnsi="仿宋_GB2312" w:cs="仿宋_GB2312"/>
        </w:rPr>
      </w:pPr>
      <w:r>
        <w:rPr>
          <w:rFonts w:hint="eastAsia" w:ascii="仿宋_GB2312" w:hAnsi="仿宋_GB2312" w:cs="仿宋_GB2312"/>
        </w:rPr>
        <w:t>（3）ISO9001质量体系的要求；</w:t>
      </w:r>
    </w:p>
    <w:p>
      <w:pPr>
        <w:ind w:firstLine="480"/>
        <w:rPr>
          <w:rFonts w:ascii="仿宋_GB2312" w:hAnsi="仿宋_GB2312" w:cs="仿宋_GB2312"/>
        </w:rPr>
      </w:pPr>
      <w:r>
        <w:rPr>
          <w:rFonts w:hint="eastAsia" w:ascii="仿宋_GB2312" w:hAnsi="仿宋_GB2312" w:cs="仿宋_GB2312"/>
        </w:rPr>
        <w:t>（4）ISO14000环境管理认证体系的要求；</w:t>
      </w:r>
    </w:p>
    <w:p>
      <w:pPr>
        <w:ind w:firstLine="480"/>
        <w:rPr>
          <w:rFonts w:ascii="仿宋_GB2312" w:hAnsi="仿宋_GB2312" w:cs="仿宋_GB2312"/>
        </w:rPr>
      </w:pPr>
      <w:r>
        <w:rPr>
          <w:rFonts w:hint="eastAsia" w:ascii="仿宋_GB2312" w:hAnsi="仿宋_GB2312" w:cs="仿宋_GB2312"/>
        </w:rPr>
        <w:t>（5）其他相关适用法律法规的规定；</w:t>
      </w:r>
    </w:p>
    <w:p>
      <w:pPr>
        <w:pStyle w:val="265"/>
        <w:numPr>
          <w:ilvl w:val="0"/>
          <w:numId w:val="3"/>
        </w:numPr>
        <w:ind w:firstLineChars="0"/>
        <w:rPr>
          <w:rFonts w:ascii="仿宋_GB2312" w:hAnsi="仿宋_GB2312" w:cs="仿宋_GB2312"/>
        </w:rPr>
      </w:pPr>
      <w:r>
        <w:rPr>
          <w:rFonts w:hint="eastAsia" w:ascii="仿宋_GB2312" w:hAnsi="仿宋_GB2312" w:cs="仿宋_GB2312"/>
        </w:rPr>
        <w:t>通行的运营惯例和方法以及谨慎运营的原则。</w:t>
      </w:r>
    </w:p>
    <w:p>
      <w:pPr>
        <w:rPr>
          <w:rFonts w:ascii="宋体" w:hAnsi="宋体"/>
          <w:b/>
          <w:sz w:val="24"/>
        </w:rPr>
      </w:pPr>
      <w:r>
        <w:rPr>
          <w:rFonts w:hint="eastAsia" w:ascii="宋体" w:hAnsi="宋体"/>
          <w:b/>
          <w:sz w:val="24"/>
        </w:rPr>
        <w:t>七、项目其他要求</w:t>
      </w:r>
    </w:p>
    <w:p>
      <w:pPr>
        <w:ind w:firstLine="482"/>
        <w:rPr>
          <w:rFonts w:ascii="仿宋_GB2312" w:hAnsi="仿宋_GB2312" w:cs="仿宋_GB2312"/>
          <w:b/>
        </w:rPr>
      </w:pPr>
      <w:r>
        <w:rPr>
          <w:rFonts w:hint="eastAsia" w:ascii="仿宋_GB2312" w:hAnsi="仿宋_GB2312" w:cs="仿宋_GB2312"/>
          <w:b/>
        </w:rPr>
        <w:t>运营期满后移交程序：</w:t>
      </w:r>
    </w:p>
    <w:p>
      <w:pPr>
        <w:tabs>
          <w:tab w:val="left" w:pos="0"/>
        </w:tabs>
        <w:ind w:firstLine="480"/>
        <w:rPr>
          <w:rFonts w:ascii="仿宋_GB2312" w:hAnsi="仿宋_GB2312" w:cs="仿宋_GB2312"/>
        </w:rPr>
      </w:pPr>
      <w:r>
        <w:rPr>
          <w:rFonts w:hint="eastAsia" w:ascii="仿宋_GB2312" w:hAnsi="仿宋_GB2312" w:cs="仿宋_GB2312"/>
        </w:rPr>
        <w:t>1.托运行期结束前壹个月，由采购人和服务商各自派员组成移交小组，具体负责和办理移交工作，组织必要的会议，并商定设施设备移交的详尽程序。</w:t>
      </w:r>
    </w:p>
    <w:p>
      <w:pPr>
        <w:tabs>
          <w:tab w:val="left" w:pos="0"/>
        </w:tabs>
        <w:ind w:firstLine="480"/>
        <w:rPr>
          <w:rFonts w:ascii="仿宋_GB2312" w:hAnsi="仿宋_GB2312" w:cs="仿宋_GB2312"/>
        </w:rPr>
      </w:pPr>
      <w:r>
        <w:rPr>
          <w:rFonts w:hint="eastAsia" w:ascii="仿宋_GB2312" w:hAnsi="仿宋_GB2312" w:cs="仿宋_GB2312"/>
        </w:rPr>
        <w:t>2.对服务商人员的接收</w:t>
      </w:r>
    </w:p>
    <w:p>
      <w:pPr>
        <w:tabs>
          <w:tab w:val="left" w:pos="0"/>
        </w:tabs>
        <w:ind w:firstLine="480"/>
        <w:rPr>
          <w:rFonts w:ascii="仿宋_GB2312" w:hAnsi="仿宋_GB2312" w:cs="仿宋_GB2312"/>
        </w:rPr>
      </w:pPr>
      <w:r>
        <w:rPr>
          <w:rFonts w:hint="eastAsia" w:ascii="仿宋_GB2312" w:hAnsi="仿宋_GB2312" w:cs="仿宋_GB2312"/>
        </w:rPr>
        <w:t>采购人可自行选择在委托运行权收回后其愿意继续聘用的人员。</w:t>
      </w:r>
    </w:p>
    <w:p>
      <w:pPr>
        <w:tabs>
          <w:tab w:val="left" w:pos="0"/>
        </w:tabs>
        <w:ind w:firstLine="480"/>
        <w:rPr>
          <w:rFonts w:ascii="仿宋_GB2312" w:hAnsi="仿宋_GB2312" w:cs="仿宋_GB2312"/>
        </w:rPr>
      </w:pPr>
      <w:r>
        <w:rPr>
          <w:rFonts w:hint="eastAsia" w:ascii="仿宋_GB2312" w:hAnsi="仿宋_GB2312" w:cs="仿宋_GB2312"/>
        </w:rPr>
        <w:t>3.服务商所订立合同的取消</w:t>
      </w:r>
    </w:p>
    <w:p>
      <w:pPr>
        <w:tabs>
          <w:tab w:val="left" w:pos="0"/>
        </w:tabs>
        <w:ind w:firstLine="480"/>
        <w:rPr>
          <w:rFonts w:ascii="仿宋_GB2312" w:hAnsi="仿宋_GB2312" w:cs="仿宋_GB2312"/>
        </w:rPr>
      </w:pPr>
      <w:r>
        <w:rPr>
          <w:rFonts w:hint="eastAsia" w:ascii="仿宋_GB2312" w:hAnsi="仿宋_GB2312" w:cs="仿宋_GB2312"/>
        </w:rPr>
        <w:t>委托运行期届满终止时，根据采购人要求，服务商应取消其已签订的、于委托运行期届满后仍将有效的与生产废水治理项目的运行和维护有关的任何合同、协议。采购人对于因取消该等合同、协议所发生的任何费用不负责任，同时服务商应确保生产废水治理项目和采购人将不因此受到任何不利、损害和利益损失。</w:t>
      </w:r>
    </w:p>
    <w:p>
      <w:pPr>
        <w:tabs>
          <w:tab w:val="left" w:pos="0"/>
        </w:tabs>
        <w:ind w:firstLine="480"/>
        <w:rPr>
          <w:rFonts w:ascii="仿宋_GB2312" w:hAnsi="仿宋_GB2312" w:cs="仿宋_GB2312"/>
          <w:color w:val="252525" w:themeColor="text1" w:themeTint="D9"/>
        </w:rPr>
      </w:pPr>
      <w:r>
        <w:rPr>
          <w:rFonts w:hint="eastAsia" w:ascii="仿宋_GB2312" w:hAnsi="仿宋_GB2312" w:cs="仿宋_GB2312"/>
          <w:color w:val="252525" w:themeColor="text1" w:themeTint="D9"/>
          <w:szCs w:val="30"/>
        </w:rPr>
        <w:t>★</w:t>
      </w:r>
      <w:r>
        <w:rPr>
          <w:rFonts w:hint="eastAsia" w:ascii="仿宋_GB2312" w:hAnsi="仿宋_GB2312" w:cs="仿宋_GB2312"/>
          <w:color w:val="252525" w:themeColor="text1" w:themeTint="D9"/>
        </w:rPr>
        <w:t>4.服务商不得私自移走项目有关的任何设施设备（投标人自行投入的设备产权归采购方所有）。</w:t>
      </w:r>
    </w:p>
    <w:p>
      <w:pPr>
        <w:tabs>
          <w:tab w:val="left" w:pos="0"/>
        </w:tabs>
        <w:ind w:firstLine="480"/>
        <w:rPr>
          <w:rFonts w:ascii="仿宋_GB2312" w:hAnsi="仿宋_GB2312" w:cs="仿宋_GB2312"/>
          <w:color w:val="252525" w:themeColor="text1" w:themeTint="D9"/>
        </w:rPr>
      </w:pPr>
      <w:r>
        <w:rPr>
          <w:rFonts w:hint="eastAsia" w:ascii="仿宋_GB2312" w:hAnsi="仿宋_GB2312" w:cs="仿宋_GB2312"/>
          <w:color w:val="252525" w:themeColor="text1" w:themeTint="D9"/>
        </w:rPr>
        <w:t>5.项目设施设备的收回</w:t>
      </w:r>
    </w:p>
    <w:p>
      <w:pPr>
        <w:tabs>
          <w:tab w:val="left" w:pos="0"/>
        </w:tabs>
        <w:ind w:firstLine="480"/>
        <w:rPr>
          <w:rFonts w:ascii="仿宋_GB2312" w:hAnsi="仿宋_GB2312" w:cs="仿宋_GB2312"/>
          <w:color w:val="252525" w:themeColor="text1" w:themeTint="D9"/>
        </w:rPr>
      </w:pPr>
      <w:r>
        <w:rPr>
          <w:rFonts w:hint="eastAsia" w:ascii="仿宋_GB2312" w:hAnsi="仿宋_GB2312" w:cs="仿宋_GB2312"/>
          <w:color w:val="252525" w:themeColor="text1" w:themeTint="D9"/>
        </w:rPr>
        <w:t>5.1 由服务商在项目设施设备收回日前负责对项目设施设备整修以达到届时相关规范的要求，包括但不限于：</w:t>
      </w:r>
    </w:p>
    <w:p>
      <w:pPr>
        <w:tabs>
          <w:tab w:val="left" w:pos="0"/>
        </w:tabs>
        <w:ind w:firstLine="480"/>
        <w:rPr>
          <w:rFonts w:ascii="仿宋_GB2312" w:hAnsi="仿宋_GB2312" w:cs="仿宋_GB2312"/>
          <w:color w:val="252525" w:themeColor="text1" w:themeTint="D9"/>
        </w:rPr>
      </w:pPr>
      <w:r>
        <w:rPr>
          <w:rFonts w:hint="eastAsia" w:ascii="仿宋_GB2312" w:hAnsi="仿宋_GB2312" w:cs="仿宋_GB2312"/>
          <w:color w:val="252525" w:themeColor="text1" w:themeTint="D9"/>
        </w:rPr>
        <w:t>（1）建构筑物满足安全、环保等生产要求；</w:t>
      </w:r>
    </w:p>
    <w:p>
      <w:pPr>
        <w:tabs>
          <w:tab w:val="left" w:pos="0"/>
        </w:tabs>
        <w:ind w:firstLine="480"/>
        <w:rPr>
          <w:rFonts w:ascii="仿宋_GB2312" w:hAnsi="仿宋_GB2312" w:cs="仿宋_GB2312"/>
          <w:color w:val="252525" w:themeColor="text1" w:themeTint="D9"/>
        </w:rPr>
      </w:pPr>
      <w:r>
        <w:rPr>
          <w:rFonts w:hint="eastAsia" w:ascii="仿宋_GB2312" w:hAnsi="仿宋_GB2312" w:cs="仿宋_GB2312"/>
          <w:color w:val="252525" w:themeColor="text1" w:themeTint="D9"/>
        </w:rPr>
        <w:t>（2）设备工况良好，满足性能、工艺参数要求及届时的国家污水处理标准；</w:t>
      </w:r>
    </w:p>
    <w:p>
      <w:pPr>
        <w:tabs>
          <w:tab w:val="left" w:pos="0"/>
        </w:tabs>
        <w:ind w:firstLine="480"/>
        <w:rPr>
          <w:rFonts w:ascii="仿宋_GB2312" w:hAnsi="仿宋_GB2312" w:cs="仿宋_GB2312"/>
          <w:color w:val="252525" w:themeColor="text1" w:themeTint="D9"/>
        </w:rPr>
      </w:pPr>
      <w:r>
        <w:rPr>
          <w:rFonts w:hint="eastAsia" w:ascii="仿宋_GB2312" w:hAnsi="仿宋_GB2312" w:cs="仿宋_GB2312"/>
          <w:color w:val="252525" w:themeColor="text1" w:themeTint="D9"/>
        </w:rPr>
        <w:t>（3）建筑物要求外观整洁，设施设备完好，结构无损坏。</w:t>
      </w:r>
    </w:p>
    <w:p>
      <w:pPr>
        <w:tabs>
          <w:tab w:val="left" w:pos="0"/>
        </w:tabs>
        <w:ind w:firstLine="480"/>
        <w:rPr>
          <w:rFonts w:ascii="仿宋_GB2312" w:hAnsi="仿宋_GB2312" w:cs="仿宋_GB2312"/>
          <w:color w:val="252525" w:themeColor="text1" w:themeTint="D9"/>
        </w:rPr>
      </w:pPr>
      <w:r>
        <w:rPr>
          <w:rFonts w:hint="eastAsia" w:ascii="仿宋_GB2312" w:hAnsi="仿宋_GB2312" w:cs="仿宋_GB2312"/>
          <w:color w:val="252525" w:themeColor="text1" w:themeTint="D9"/>
        </w:rPr>
        <w:t>5.2 项目设施设备若不能达到第5.1 款标准则服务商应进行恢复性大修。</w:t>
      </w:r>
    </w:p>
    <w:p>
      <w:pPr>
        <w:tabs>
          <w:tab w:val="left" w:pos="0"/>
        </w:tabs>
        <w:ind w:firstLine="480"/>
        <w:rPr>
          <w:rFonts w:ascii="仿宋_GB2312" w:hAnsi="仿宋_GB2312" w:cs="仿宋_GB2312"/>
          <w:color w:val="252525" w:themeColor="text1" w:themeTint="D9"/>
        </w:rPr>
      </w:pPr>
      <w:r>
        <w:rPr>
          <w:rFonts w:hint="eastAsia" w:ascii="仿宋_GB2312" w:hAnsi="仿宋_GB2312" w:cs="仿宋_GB2312"/>
          <w:color w:val="252525" w:themeColor="text1" w:themeTint="D9"/>
        </w:rPr>
        <w:t>5.3 服务商接管项目运营后另行新增或更换的设备（不在投标合同范围内），双方在终止运营合同后，该设备产权归服务商所有，服务商可自行回收。</w:t>
      </w:r>
    </w:p>
    <w:p>
      <w:pPr>
        <w:tabs>
          <w:tab w:val="left" w:pos="0"/>
        </w:tabs>
        <w:ind w:firstLine="480"/>
        <w:rPr>
          <w:rFonts w:ascii="仿宋_GB2312" w:hAnsi="仿宋_GB2312" w:cs="仿宋_GB2312"/>
          <w:color w:val="252525" w:themeColor="text1" w:themeTint="D9"/>
        </w:rPr>
      </w:pPr>
      <w:r>
        <w:rPr>
          <w:rFonts w:hint="eastAsia" w:ascii="仿宋_GB2312" w:hAnsi="仿宋_GB2312" w:cs="仿宋_GB2312"/>
          <w:color w:val="252525" w:themeColor="text1" w:themeTint="D9"/>
        </w:rPr>
        <w:t>6.技术文件和运行记录</w:t>
      </w:r>
    </w:p>
    <w:p>
      <w:pPr>
        <w:tabs>
          <w:tab w:val="left" w:pos="0"/>
        </w:tabs>
        <w:ind w:firstLine="480"/>
        <w:rPr>
          <w:rFonts w:ascii="仿宋_GB2312" w:hAnsi="仿宋_GB2312" w:cs="仿宋_GB2312"/>
          <w:color w:val="252525" w:themeColor="text1" w:themeTint="D9"/>
        </w:rPr>
      </w:pPr>
      <w:r>
        <w:rPr>
          <w:rFonts w:hint="eastAsia" w:ascii="仿宋_GB2312" w:hAnsi="仿宋_GB2312" w:cs="仿宋_GB2312"/>
          <w:color w:val="252525" w:themeColor="text1" w:themeTint="D9"/>
        </w:rPr>
        <w:t>服务商应向采购人或其指定机构移交生产废水治理项目及其正常运行必需的所有技术文件，包括但不限于其在委托运行开始和整个委托运行期间从采购人获得的所有技术文件、资质证书（如有）、会计资料、运行记录和其它管理文件等。</w:t>
      </w:r>
    </w:p>
    <w:p>
      <w:pPr>
        <w:tabs>
          <w:tab w:val="left" w:pos="0"/>
        </w:tabs>
        <w:ind w:firstLine="480"/>
        <w:rPr>
          <w:rFonts w:ascii="仿宋_GB2312" w:hAnsi="仿宋_GB2312" w:cs="仿宋_GB2312"/>
        </w:rPr>
      </w:pPr>
      <w:r>
        <w:rPr>
          <w:rFonts w:hint="eastAsia" w:ascii="仿宋_GB2312" w:hAnsi="仿宋_GB2312" w:cs="仿宋_GB2312"/>
        </w:rPr>
        <w:t>7.知识产权</w:t>
      </w:r>
    </w:p>
    <w:p>
      <w:pPr>
        <w:tabs>
          <w:tab w:val="left" w:pos="0"/>
        </w:tabs>
        <w:ind w:firstLine="480"/>
        <w:rPr>
          <w:rFonts w:ascii="仿宋_GB2312" w:hAnsi="仿宋_GB2312" w:cs="仿宋_GB2312"/>
        </w:rPr>
      </w:pPr>
      <w:r>
        <w:rPr>
          <w:rFonts w:hint="eastAsia" w:ascii="仿宋_GB2312" w:hAnsi="仿宋_GB2312" w:cs="仿宋_GB2312"/>
        </w:rPr>
        <w:t>服务商应向采购人或其指定机构移交服务商在委托运行期间可能形成的一切专利、专有技术等无形资产的文件，采购人将有权无偿继续在本项目中使用该知识产权。</w:t>
      </w:r>
    </w:p>
    <w:p>
      <w:pPr>
        <w:tabs>
          <w:tab w:val="left" w:pos="0"/>
        </w:tabs>
        <w:ind w:firstLine="480"/>
        <w:rPr>
          <w:rFonts w:ascii="仿宋_GB2312" w:hAnsi="仿宋_GB2312" w:cs="仿宋_GB2312"/>
        </w:rPr>
      </w:pPr>
      <w:r>
        <w:rPr>
          <w:rFonts w:hint="eastAsia" w:ascii="仿宋_GB2312" w:hAnsi="仿宋_GB2312" w:cs="仿宋_GB2312"/>
        </w:rPr>
        <w:t>8.无财务、法律瑕疵</w:t>
      </w:r>
    </w:p>
    <w:p>
      <w:pPr>
        <w:tabs>
          <w:tab w:val="left" w:pos="0"/>
        </w:tabs>
        <w:ind w:firstLine="480"/>
        <w:rPr>
          <w:rFonts w:ascii="仿宋_GB2312" w:hAnsi="仿宋_GB2312" w:cs="仿宋_GB2312"/>
        </w:rPr>
      </w:pPr>
      <w:r>
        <w:rPr>
          <w:rFonts w:hint="eastAsia" w:ascii="仿宋_GB2312" w:hAnsi="仿宋_GB2312" w:cs="仿宋_GB2312"/>
        </w:rPr>
        <w:t>服务商应保证项目设施设备在项目设施设备收回日无负债、无对外担保、无法律诉讼等情况，除非服务商与采购人就项目设施设备在收回日的债权债务处理已另外达成协议。</w:t>
      </w:r>
    </w:p>
    <w:p>
      <w:pPr>
        <w:tabs>
          <w:tab w:val="left" w:pos="0"/>
        </w:tabs>
        <w:ind w:firstLine="480"/>
        <w:rPr>
          <w:rFonts w:ascii="仿宋_GB2312" w:hAnsi="仿宋_GB2312" w:cs="仿宋_GB2312"/>
        </w:rPr>
      </w:pPr>
      <w:r>
        <w:rPr>
          <w:rFonts w:hint="eastAsia" w:ascii="仿宋_GB2312" w:hAnsi="仿宋_GB2312" w:cs="仿宋_GB2312"/>
        </w:rPr>
        <w:t>9.收回前的检测及其结果</w:t>
      </w:r>
    </w:p>
    <w:p>
      <w:pPr>
        <w:tabs>
          <w:tab w:val="left" w:pos="0"/>
        </w:tabs>
        <w:ind w:firstLine="480"/>
        <w:rPr>
          <w:rFonts w:ascii="仿宋_GB2312" w:hAnsi="仿宋_GB2312" w:cs="仿宋_GB2312"/>
        </w:rPr>
      </w:pPr>
      <w:r>
        <w:rPr>
          <w:rFonts w:hint="eastAsia" w:ascii="仿宋_GB2312" w:hAnsi="仿宋_GB2312" w:cs="仿宋_GB2312"/>
        </w:rPr>
        <w:t>9.1 服务商应于项目设施设备收回日三(3)个月之前（若为提前终止则应自发出终止意向通知之日起十五（15）日内），向采购人提交其自行检验的项目设施设备检测报告，检测项目、种类和结果应保证项目设施设备可以满足届时有效的有关法律、法规和国家标准规定的处理性能和排放指标及其设计处理能力。采购人在合同终止前十日内向环保和疾控部门送检经污水处理站排入市政管网的排放口所取污水标本应达到环保和疾控要求。</w:t>
      </w:r>
    </w:p>
    <w:p>
      <w:pPr>
        <w:rPr>
          <w:rFonts w:ascii="仿宋_GB2312" w:hAnsi="仿宋_GB2312" w:cs="仿宋_GB2312"/>
        </w:rPr>
      </w:pPr>
      <w:r>
        <w:rPr>
          <w:rFonts w:hint="eastAsia" w:ascii="仿宋_GB2312" w:hAnsi="仿宋_GB2312" w:cs="仿宋_GB2312"/>
        </w:rPr>
        <w:t>9.2 采购人或其指定的机构和人员应于收到服务商提交的其自行检验项目设施设备的检测报告后进入生产废水治理项目对项目设施设备进行性能测试，并提出对项目设施设备瑕疵的整改意见。服务商在收到采购人的整改意见后，应在规定期限内完成整改措施。</w:t>
      </w:r>
    </w:p>
    <w:p>
      <w:pPr>
        <w:spacing w:line="560" w:lineRule="exact"/>
        <w:ind w:firstLine="280" w:firstLineChars="100"/>
        <w:rPr>
          <w:rFonts w:ascii="宋体" w:hAnsi="宋体" w:cs="宋体"/>
          <w:color w:val="FF0000"/>
          <w:kern w:val="0"/>
          <w:sz w:val="28"/>
          <w:szCs w:val="28"/>
        </w:rPr>
      </w:pPr>
      <w:r>
        <w:rPr>
          <w:rFonts w:hint="eastAsia" w:ascii="宋体" w:hAnsi="宋体" w:cs="宋体"/>
          <w:color w:val="FF0000"/>
          <w:kern w:val="0"/>
          <w:sz w:val="28"/>
          <w:szCs w:val="28"/>
        </w:rPr>
        <w:t>八、洗涤服务监管及考核</w:t>
      </w:r>
    </w:p>
    <w:p>
      <w:pPr>
        <w:widowControl/>
        <w:wordWrap w:val="0"/>
        <w:spacing w:line="360" w:lineRule="auto"/>
        <w:jc w:val="left"/>
        <w:rPr>
          <w:b/>
          <w:bCs/>
        </w:rPr>
      </w:pPr>
      <w:r>
        <w:rPr>
          <w:rFonts w:hint="eastAsia"/>
          <w:b/>
          <w:bCs/>
        </w:rPr>
        <w:t>考核办法</w:t>
      </w:r>
    </w:p>
    <w:p>
      <w:pPr>
        <w:widowControl/>
        <w:numPr>
          <w:ilvl w:val="0"/>
          <w:numId w:val="5"/>
        </w:numPr>
        <w:spacing w:line="320" w:lineRule="exact"/>
        <w:ind w:firstLine="562"/>
        <w:jc w:val="left"/>
        <w:rPr>
          <w:rFonts w:ascii="黑体" w:hAnsi="黑体" w:eastAsia="黑体"/>
          <w:b/>
          <w:kern w:val="0"/>
          <w:sz w:val="28"/>
          <w:szCs w:val="28"/>
        </w:rPr>
      </w:pPr>
      <w:r>
        <w:rPr>
          <w:rFonts w:hint="eastAsia" w:ascii="黑体" w:hAnsi="黑体" w:eastAsia="黑体"/>
          <w:b/>
          <w:kern w:val="0"/>
          <w:sz w:val="28"/>
          <w:szCs w:val="28"/>
        </w:rPr>
        <w:t>检查内容及标准</w:t>
      </w:r>
    </w:p>
    <w:p>
      <w:pPr>
        <w:ind w:firstLine="211" w:firstLineChars="100"/>
        <w:rPr>
          <w:rFonts w:ascii="黑体" w:hAnsi="黑体" w:eastAsia="黑体"/>
          <w:b/>
          <w:kern w:val="0"/>
        </w:rPr>
      </w:pPr>
      <w:r>
        <w:rPr>
          <w:rFonts w:hint="eastAsia" w:ascii="黑体" w:hAnsi="黑体" w:eastAsia="黑体"/>
          <w:b/>
          <w:kern w:val="0"/>
        </w:rPr>
        <w:t>（1）水质检测考核标准</w:t>
      </w:r>
    </w:p>
    <w:tbl>
      <w:tblPr>
        <w:tblStyle w:val="57"/>
        <w:tblW w:w="9960" w:type="dxa"/>
        <w:jc w:val="center"/>
        <w:tblLayout w:type="fixed"/>
        <w:tblCellMar>
          <w:top w:w="0" w:type="dxa"/>
          <w:left w:w="0" w:type="dxa"/>
          <w:bottom w:w="0" w:type="dxa"/>
          <w:right w:w="0" w:type="dxa"/>
        </w:tblCellMar>
      </w:tblPr>
      <w:tblGrid>
        <w:gridCol w:w="819"/>
        <w:gridCol w:w="995"/>
        <w:gridCol w:w="820"/>
        <w:gridCol w:w="821"/>
        <w:gridCol w:w="820"/>
        <w:gridCol w:w="821"/>
        <w:gridCol w:w="820"/>
        <w:gridCol w:w="1700"/>
        <w:gridCol w:w="1262"/>
        <w:gridCol w:w="1082"/>
      </w:tblGrid>
      <w:tr>
        <w:tblPrEx>
          <w:tblCellMar>
            <w:top w:w="0" w:type="dxa"/>
            <w:left w:w="0" w:type="dxa"/>
            <w:bottom w:w="0" w:type="dxa"/>
            <w:right w:w="0" w:type="dxa"/>
          </w:tblCellMar>
        </w:tblPrEx>
        <w:trPr>
          <w:trHeight w:val="23" w:hRule="atLeast"/>
          <w:jc w:val="center"/>
        </w:trPr>
        <w:tc>
          <w:tcPr>
            <w:tcW w:w="81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序号</w:t>
            </w:r>
          </w:p>
        </w:tc>
        <w:tc>
          <w:tcPr>
            <w:tcW w:w="9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检测内容</w:t>
            </w:r>
          </w:p>
        </w:tc>
        <w:tc>
          <w:tcPr>
            <w:tcW w:w="410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检测周期</w:t>
            </w:r>
          </w:p>
        </w:tc>
        <w:tc>
          <w:tcPr>
            <w:tcW w:w="17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备注</w:t>
            </w:r>
          </w:p>
        </w:tc>
        <w:tc>
          <w:tcPr>
            <w:tcW w:w="12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扣分原因</w:t>
            </w:r>
          </w:p>
        </w:tc>
        <w:tc>
          <w:tcPr>
            <w:tcW w:w="10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扣分数</w:t>
            </w:r>
            <w:r>
              <w:rPr>
                <w:rFonts w:hint="eastAsia" w:ascii="仿宋_GB2312" w:hAnsi="仿宋_GB2312" w:cs="仿宋_GB2312"/>
                <w:kern w:val="0"/>
                <w:szCs w:val="21"/>
                <w:lang w:bidi="ar"/>
              </w:rPr>
              <w:br w:type="textWrapping"/>
            </w:r>
            <w:r>
              <w:rPr>
                <w:rFonts w:hint="eastAsia" w:ascii="仿宋_GB2312" w:hAnsi="仿宋_GB2312" w:cs="仿宋_GB2312"/>
                <w:kern w:val="0"/>
                <w:szCs w:val="21"/>
                <w:lang w:bidi="ar"/>
              </w:rPr>
              <w:t>（分）</w:t>
            </w:r>
          </w:p>
        </w:tc>
      </w:tr>
      <w:tr>
        <w:tblPrEx>
          <w:tblCellMar>
            <w:top w:w="0" w:type="dxa"/>
            <w:left w:w="0" w:type="dxa"/>
            <w:bottom w:w="0" w:type="dxa"/>
            <w:right w:w="0" w:type="dxa"/>
          </w:tblCellMar>
        </w:tblPrEx>
        <w:trPr>
          <w:trHeight w:val="23" w:hRule="atLeast"/>
          <w:jc w:val="center"/>
        </w:trPr>
        <w:tc>
          <w:tcPr>
            <w:tcW w:w="81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9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每日</w:t>
            </w:r>
          </w:p>
        </w:tc>
        <w:tc>
          <w:tcPr>
            <w:tcW w:w="8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每周</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每月</w:t>
            </w:r>
          </w:p>
        </w:tc>
        <w:tc>
          <w:tcPr>
            <w:tcW w:w="8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每季度</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每半年</w:t>
            </w:r>
          </w:p>
        </w:tc>
        <w:tc>
          <w:tcPr>
            <w:tcW w:w="17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0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r>
      <w:tr>
        <w:tblPrEx>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PH</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8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每日不低于2次</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2</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余氯</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8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每日不低于2次</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3</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沙门氏菌</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投标方送第三方检测单位检测</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4</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志贺氏菌</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17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投标方送第三方检测单位检测</w:t>
            </w:r>
          </w:p>
        </w:tc>
        <w:tc>
          <w:tcPr>
            <w:tcW w:w="1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bl>
    <w:p>
      <w:pPr>
        <w:ind w:firstLine="211" w:firstLineChars="100"/>
        <w:rPr>
          <w:rFonts w:ascii="黑体" w:hAnsi="黑体" w:eastAsia="黑体"/>
          <w:b/>
          <w:kern w:val="0"/>
        </w:rPr>
      </w:pPr>
      <w:r>
        <w:rPr>
          <w:rFonts w:hint="eastAsia" w:ascii="黑体" w:hAnsi="黑体" w:eastAsia="黑体"/>
          <w:b/>
          <w:kern w:val="0"/>
        </w:rPr>
        <w:t>（2）构筑物巡检及现场卫生考核标准</w:t>
      </w:r>
    </w:p>
    <w:tbl>
      <w:tblPr>
        <w:tblStyle w:val="57"/>
        <w:tblW w:w="9840" w:type="dxa"/>
        <w:jc w:val="center"/>
        <w:tblLayout w:type="fixed"/>
        <w:tblCellMar>
          <w:top w:w="0" w:type="dxa"/>
          <w:left w:w="0" w:type="dxa"/>
          <w:bottom w:w="0" w:type="dxa"/>
          <w:right w:w="0" w:type="dxa"/>
        </w:tblCellMar>
      </w:tblPr>
      <w:tblGrid>
        <w:gridCol w:w="758"/>
        <w:gridCol w:w="1143"/>
        <w:gridCol w:w="526"/>
        <w:gridCol w:w="758"/>
        <w:gridCol w:w="758"/>
        <w:gridCol w:w="757"/>
        <w:gridCol w:w="758"/>
        <w:gridCol w:w="2154"/>
        <w:gridCol w:w="1313"/>
        <w:gridCol w:w="915"/>
      </w:tblGrid>
      <w:tr>
        <w:tblPrEx>
          <w:tblCellMar>
            <w:top w:w="0" w:type="dxa"/>
            <w:left w:w="0" w:type="dxa"/>
            <w:bottom w:w="0" w:type="dxa"/>
            <w:right w:w="0" w:type="dxa"/>
          </w:tblCellMar>
        </w:tblPrEx>
        <w:trPr>
          <w:trHeight w:val="23"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序号</w:t>
            </w:r>
          </w:p>
        </w:tc>
        <w:tc>
          <w:tcPr>
            <w:tcW w:w="11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工作内容</w:t>
            </w:r>
          </w:p>
        </w:tc>
        <w:tc>
          <w:tcPr>
            <w:tcW w:w="355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周期</w:t>
            </w:r>
          </w:p>
        </w:tc>
        <w:tc>
          <w:tcPr>
            <w:tcW w:w="21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工作标准</w:t>
            </w:r>
          </w:p>
        </w:tc>
        <w:tc>
          <w:tcPr>
            <w:tcW w:w="13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扣分原因</w:t>
            </w:r>
          </w:p>
        </w:tc>
        <w:tc>
          <w:tcPr>
            <w:tcW w:w="9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扣分数</w:t>
            </w:r>
          </w:p>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（分）</w:t>
            </w:r>
          </w:p>
        </w:tc>
      </w:tr>
      <w:tr>
        <w:tblPrEx>
          <w:tblCellMar>
            <w:top w:w="0" w:type="dxa"/>
            <w:left w:w="0" w:type="dxa"/>
            <w:bottom w:w="0" w:type="dxa"/>
            <w:right w:w="0" w:type="dxa"/>
          </w:tblCellMar>
        </w:tblPrEx>
        <w:trPr>
          <w:trHeight w:val="23"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1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每日</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每周</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每月</w:t>
            </w:r>
          </w:p>
        </w:tc>
        <w:tc>
          <w:tcPr>
            <w:tcW w:w="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每季度</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每年</w:t>
            </w:r>
          </w:p>
        </w:tc>
        <w:tc>
          <w:tcPr>
            <w:tcW w:w="21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3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9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r>
      <w:tr>
        <w:tblPrEx>
          <w:tblCellMar>
            <w:top w:w="0" w:type="dxa"/>
            <w:left w:w="0" w:type="dxa"/>
            <w:bottom w:w="0" w:type="dxa"/>
            <w:right w:w="0" w:type="dxa"/>
          </w:tblCellMar>
        </w:tblPrEx>
        <w:trPr>
          <w:trHeight w:val="23"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c>
          <w:tcPr>
            <w:tcW w:w="11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设备间卫生</w:t>
            </w:r>
          </w:p>
        </w:tc>
        <w:tc>
          <w:tcPr>
            <w:tcW w:w="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设备清洁无油污</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1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地面清洁无油污</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2</w:t>
            </w:r>
          </w:p>
        </w:tc>
        <w:tc>
          <w:tcPr>
            <w:tcW w:w="11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值班室</w:t>
            </w:r>
          </w:p>
        </w:tc>
        <w:tc>
          <w:tcPr>
            <w:tcW w:w="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清洁整齐</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1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物品摆放整齐</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3</w:t>
            </w:r>
          </w:p>
        </w:tc>
        <w:tc>
          <w:tcPr>
            <w:tcW w:w="11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color w:val="FF0000"/>
                <w:kern w:val="0"/>
                <w:szCs w:val="21"/>
                <w:lang w:bidi="ar"/>
              </w:rPr>
            </w:pPr>
            <w:r>
              <w:rPr>
                <w:rFonts w:hint="eastAsia"/>
              </w:rPr>
              <w:t>预消毒池</w:t>
            </w:r>
            <w:r>
              <w:rPr>
                <w:rFonts w:hint="eastAsia" w:ascii="仿宋_GB2312" w:hAnsi="仿宋_GB2312" w:cs="仿宋_GB2312"/>
                <w:color w:val="FF0000"/>
                <w:kern w:val="0"/>
                <w:szCs w:val="21"/>
                <w:lang w:bidi="ar"/>
              </w:rPr>
              <w:t>巡检</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表面无大块浮渣，过水孔无堵塞</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4</w:t>
            </w:r>
          </w:p>
        </w:tc>
        <w:tc>
          <w:tcPr>
            <w:tcW w:w="11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好氧池巡检</w:t>
            </w:r>
          </w:p>
        </w:tc>
        <w:tc>
          <w:tcPr>
            <w:tcW w:w="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表面无大块浮渣，过水孔无堵塞</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1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曝气正常</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5</w:t>
            </w:r>
          </w:p>
        </w:tc>
        <w:tc>
          <w:tcPr>
            <w:tcW w:w="11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沉淀池巡检</w:t>
            </w:r>
          </w:p>
        </w:tc>
        <w:tc>
          <w:tcPr>
            <w:tcW w:w="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表面无浮渣，过水孔无堵塞</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1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上清液清澈</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6</w:t>
            </w:r>
          </w:p>
        </w:tc>
        <w:tc>
          <w:tcPr>
            <w:tcW w:w="11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消毒池</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表面无浮渣，过水孔无堵塞</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7</w:t>
            </w:r>
          </w:p>
        </w:tc>
        <w:tc>
          <w:tcPr>
            <w:tcW w:w="11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排放口</w:t>
            </w:r>
          </w:p>
        </w:tc>
        <w:tc>
          <w:tcPr>
            <w:tcW w:w="5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水质清澈</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1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5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池底、池壁无杂物</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8</w:t>
            </w:r>
          </w:p>
        </w:tc>
        <w:tc>
          <w:tcPr>
            <w:tcW w:w="11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除臭装置</w:t>
            </w:r>
          </w:p>
        </w:tc>
        <w:tc>
          <w:tcPr>
            <w:tcW w:w="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2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活性炭无潮湿、发霉</w:t>
            </w:r>
          </w:p>
        </w:tc>
        <w:tc>
          <w:tcPr>
            <w:tcW w:w="13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bl>
    <w:p>
      <w:pPr>
        <w:ind w:firstLine="211" w:firstLineChars="100"/>
        <w:rPr>
          <w:rFonts w:ascii="黑体" w:hAnsi="黑体" w:eastAsia="黑体"/>
          <w:b/>
          <w:kern w:val="0"/>
        </w:rPr>
      </w:pPr>
      <w:r>
        <w:rPr>
          <w:rFonts w:hint="eastAsia" w:ascii="黑体" w:hAnsi="黑体" w:eastAsia="黑体"/>
          <w:b/>
          <w:kern w:val="0"/>
        </w:rPr>
        <w:t>（3）工艺设备巡检巡查考核标准</w:t>
      </w:r>
    </w:p>
    <w:tbl>
      <w:tblPr>
        <w:tblStyle w:val="57"/>
        <w:tblW w:w="9824" w:type="dxa"/>
        <w:jc w:val="center"/>
        <w:tblLayout w:type="fixed"/>
        <w:tblCellMar>
          <w:top w:w="0" w:type="dxa"/>
          <w:left w:w="0" w:type="dxa"/>
          <w:bottom w:w="0" w:type="dxa"/>
          <w:right w:w="0" w:type="dxa"/>
        </w:tblCellMar>
      </w:tblPr>
      <w:tblGrid>
        <w:gridCol w:w="807"/>
        <w:gridCol w:w="835"/>
        <w:gridCol w:w="769"/>
        <w:gridCol w:w="787"/>
        <w:gridCol w:w="750"/>
        <w:gridCol w:w="750"/>
        <w:gridCol w:w="769"/>
        <w:gridCol w:w="2156"/>
        <w:gridCol w:w="1321"/>
        <w:gridCol w:w="880"/>
      </w:tblGrid>
      <w:tr>
        <w:tblPrEx>
          <w:tblCellMar>
            <w:top w:w="0" w:type="dxa"/>
            <w:left w:w="0" w:type="dxa"/>
            <w:bottom w:w="0" w:type="dxa"/>
            <w:right w:w="0" w:type="dxa"/>
          </w:tblCellMar>
        </w:tblPrEx>
        <w:trPr>
          <w:trHeight w:val="23" w:hRule="atLeast"/>
          <w:jc w:val="center"/>
        </w:trPr>
        <w:tc>
          <w:tcPr>
            <w:tcW w:w="8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序号</w:t>
            </w:r>
          </w:p>
        </w:tc>
        <w:tc>
          <w:tcPr>
            <w:tcW w:w="8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设备</w:t>
            </w:r>
          </w:p>
        </w:tc>
        <w:tc>
          <w:tcPr>
            <w:tcW w:w="382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周期</w:t>
            </w:r>
          </w:p>
        </w:tc>
        <w:tc>
          <w:tcPr>
            <w:tcW w:w="21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工作标准</w:t>
            </w:r>
          </w:p>
        </w:tc>
        <w:tc>
          <w:tcPr>
            <w:tcW w:w="13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扣分原因</w:t>
            </w:r>
          </w:p>
        </w:tc>
        <w:tc>
          <w:tcPr>
            <w:tcW w:w="8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扣分数</w:t>
            </w:r>
            <w:r>
              <w:rPr>
                <w:rFonts w:hint="eastAsia" w:ascii="仿宋_GB2312" w:hAnsi="仿宋_GB2312" w:cs="仿宋_GB2312"/>
                <w:kern w:val="0"/>
                <w:szCs w:val="21"/>
                <w:lang w:bidi="ar"/>
              </w:rPr>
              <w:br w:type="textWrapping"/>
            </w:r>
            <w:r>
              <w:rPr>
                <w:rFonts w:hint="eastAsia" w:ascii="仿宋_GB2312" w:hAnsi="仿宋_GB2312" w:cs="仿宋_GB2312"/>
                <w:kern w:val="0"/>
                <w:szCs w:val="21"/>
                <w:lang w:bidi="ar"/>
              </w:rPr>
              <w:t>（分）</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每日</w:t>
            </w:r>
          </w:p>
        </w:tc>
        <w:tc>
          <w:tcPr>
            <w:tcW w:w="7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每周</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每月</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每季度</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每年</w:t>
            </w:r>
          </w:p>
        </w:tc>
        <w:tc>
          <w:tcPr>
            <w:tcW w:w="21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3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r>
      <w:tr>
        <w:tblPrEx>
          <w:tblCellMar>
            <w:top w:w="0" w:type="dxa"/>
            <w:left w:w="0" w:type="dxa"/>
            <w:bottom w:w="0" w:type="dxa"/>
            <w:right w:w="0" w:type="dxa"/>
          </w:tblCellMar>
        </w:tblPrEx>
        <w:trPr>
          <w:trHeight w:val="23" w:hRule="atLeast"/>
          <w:jc w:val="center"/>
        </w:trPr>
        <w:tc>
          <w:tcPr>
            <w:tcW w:w="8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c>
          <w:tcPr>
            <w:tcW w:w="8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风机</w:t>
            </w: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润滑油位足够</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皮带松紧度合适</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地脚螺丝紧固</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压力表显示正常</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电机温升正常，不超过80℃</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运转平稳无异响</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2</w:t>
            </w:r>
          </w:p>
        </w:tc>
        <w:tc>
          <w:tcPr>
            <w:tcW w:w="8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加药计量泵</w:t>
            </w: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地脚螺栓无松动</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泵进出口水管无破损漏气</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加药量正常</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3</w:t>
            </w:r>
          </w:p>
        </w:tc>
        <w:tc>
          <w:tcPr>
            <w:tcW w:w="8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超声波流量计</w:t>
            </w: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探头紧固螺栓无松动</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信号线无破损</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仪表显示正常</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4</w:t>
            </w:r>
          </w:p>
        </w:tc>
        <w:tc>
          <w:tcPr>
            <w:tcW w:w="8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配电柜</w:t>
            </w: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指示灯显示正常</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电气设备工作时无异常声响</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导线、开关、接触器、继电器线圈、接线端子无过热及打火现象</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5</w:t>
            </w:r>
          </w:p>
        </w:tc>
        <w:tc>
          <w:tcPr>
            <w:tcW w:w="8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在线检测仪表</w:t>
            </w: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探头紧固螺栓无松动</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信号线无破损</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仪表显示正常</w:t>
            </w:r>
          </w:p>
        </w:tc>
        <w:tc>
          <w:tcPr>
            <w:tcW w:w="13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bl>
    <w:p>
      <w:pPr>
        <w:ind w:firstLine="211" w:firstLineChars="100"/>
        <w:rPr>
          <w:rFonts w:ascii="黑体" w:hAnsi="黑体" w:eastAsia="黑体"/>
          <w:b/>
          <w:kern w:val="0"/>
        </w:rPr>
      </w:pPr>
      <w:r>
        <w:rPr>
          <w:rFonts w:hint="eastAsia" w:ascii="黑体" w:hAnsi="黑体" w:eastAsia="黑体"/>
          <w:b/>
          <w:kern w:val="0"/>
        </w:rPr>
        <w:t>（4）设备保养考核标准</w:t>
      </w:r>
    </w:p>
    <w:tbl>
      <w:tblPr>
        <w:tblStyle w:val="57"/>
        <w:tblW w:w="9820" w:type="dxa"/>
        <w:jc w:val="center"/>
        <w:tblLayout w:type="fixed"/>
        <w:tblCellMar>
          <w:top w:w="0" w:type="dxa"/>
          <w:left w:w="0" w:type="dxa"/>
          <w:bottom w:w="0" w:type="dxa"/>
          <w:right w:w="0" w:type="dxa"/>
        </w:tblCellMar>
      </w:tblPr>
      <w:tblGrid>
        <w:gridCol w:w="775"/>
        <w:gridCol w:w="774"/>
        <w:gridCol w:w="970"/>
        <w:gridCol w:w="775"/>
        <w:gridCol w:w="774"/>
        <w:gridCol w:w="775"/>
        <w:gridCol w:w="774"/>
        <w:gridCol w:w="2023"/>
        <w:gridCol w:w="1312"/>
        <w:gridCol w:w="868"/>
      </w:tblGrid>
      <w:tr>
        <w:tblPrEx>
          <w:tblCellMar>
            <w:top w:w="0" w:type="dxa"/>
            <w:left w:w="0" w:type="dxa"/>
            <w:bottom w:w="0" w:type="dxa"/>
            <w:right w:w="0" w:type="dxa"/>
          </w:tblCellMar>
        </w:tblPrEx>
        <w:trPr>
          <w:trHeight w:val="23" w:hRule="atLeast"/>
          <w:jc w:val="center"/>
        </w:trPr>
        <w:tc>
          <w:tcPr>
            <w:tcW w:w="7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序号</w:t>
            </w:r>
          </w:p>
        </w:tc>
        <w:tc>
          <w:tcPr>
            <w:tcW w:w="7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设备</w:t>
            </w:r>
          </w:p>
        </w:tc>
        <w:tc>
          <w:tcPr>
            <w:tcW w:w="9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工作内容</w:t>
            </w:r>
          </w:p>
        </w:tc>
        <w:tc>
          <w:tcPr>
            <w:tcW w:w="309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周期</w:t>
            </w:r>
          </w:p>
        </w:tc>
        <w:tc>
          <w:tcPr>
            <w:tcW w:w="202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工作标准</w:t>
            </w:r>
          </w:p>
        </w:tc>
        <w:tc>
          <w:tcPr>
            <w:tcW w:w="13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扣分原因</w:t>
            </w:r>
          </w:p>
        </w:tc>
        <w:tc>
          <w:tcPr>
            <w:tcW w:w="8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扣分数</w:t>
            </w:r>
            <w:r>
              <w:rPr>
                <w:rFonts w:hint="eastAsia" w:ascii="仿宋_GB2312" w:hAnsi="仿宋_GB2312" w:cs="仿宋_GB2312"/>
                <w:kern w:val="0"/>
                <w:szCs w:val="21"/>
                <w:lang w:bidi="ar"/>
              </w:rPr>
              <w:br w:type="textWrapping"/>
            </w:r>
            <w:r>
              <w:rPr>
                <w:rFonts w:hint="eastAsia" w:ascii="仿宋_GB2312" w:hAnsi="仿宋_GB2312" w:cs="仿宋_GB2312"/>
                <w:kern w:val="0"/>
                <w:szCs w:val="21"/>
                <w:lang w:bidi="ar"/>
              </w:rPr>
              <w:t>（分）</w:t>
            </w:r>
          </w:p>
        </w:tc>
      </w:tr>
      <w:tr>
        <w:tblPrEx>
          <w:tblCellMar>
            <w:top w:w="0" w:type="dxa"/>
            <w:left w:w="0" w:type="dxa"/>
            <w:bottom w:w="0" w:type="dxa"/>
            <w:right w:w="0" w:type="dxa"/>
          </w:tblCellMar>
        </w:tblPrEx>
        <w:trPr>
          <w:trHeight w:val="23" w:hRule="atLeast"/>
          <w:jc w:val="center"/>
        </w:trPr>
        <w:tc>
          <w:tcPr>
            <w:tcW w:w="7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9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每周</w:t>
            </w: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每月</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每季度</w:t>
            </w: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每年</w:t>
            </w:r>
          </w:p>
        </w:tc>
        <w:tc>
          <w:tcPr>
            <w:tcW w:w="202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3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r>
      <w:tr>
        <w:tblPrEx>
          <w:tblCellMar>
            <w:top w:w="0" w:type="dxa"/>
            <w:left w:w="0" w:type="dxa"/>
            <w:bottom w:w="0" w:type="dxa"/>
            <w:right w:w="0" w:type="dxa"/>
          </w:tblCellMar>
        </w:tblPrEx>
        <w:trPr>
          <w:trHeight w:val="23" w:hRule="atLeast"/>
          <w:jc w:val="center"/>
        </w:trPr>
        <w:tc>
          <w:tcPr>
            <w:tcW w:w="7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2</w:t>
            </w:r>
          </w:p>
        </w:tc>
        <w:tc>
          <w:tcPr>
            <w:tcW w:w="7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风机</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齿轮箱</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油位至油标红线以上</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传动皮带</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更换</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消声器</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滤网无灰尘堆积</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止回阀</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无磨损、卡死现象</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4</w:t>
            </w: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加药计量泵</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进出管道</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疏通无堵塞、破损</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5</w:t>
            </w: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配电柜</w:t>
            </w:r>
          </w:p>
        </w:tc>
        <w:tc>
          <w:tcPr>
            <w:tcW w:w="9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电器元件</w:t>
            </w: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0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电器元件紧固无松动</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bl>
    <w:p>
      <w:pPr>
        <w:ind w:firstLine="211" w:firstLineChars="100"/>
        <w:rPr>
          <w:rFonts w:ascii="黑体" w:hAnsi="黑体" w:eastAsia="黑体"/>
          <w:b/>
          <w:kern w:val="0"/>
        </w:rPr>
      </w:pPr>
      <w:r>
        <w:rPr>
          <w:rFonts w:hint="eastAsia" w:ascii="黑体" w:hAnsi="黑体" w:eastAsia="黑体"/>
          <w:b/>
          <w:kern w:val="0"/>
        </w:rPr>
        <w:t>（5）处理系统水池和化粪池、污泥干化池清掏及清理考核标准</w:t>
      </w:r>
    </w:p>
    <w:tbl>
      <w:tblPr>
        <w:tblStyle w:val="57"/>
        <w:tblW w:w="9800" w:type="dxa"/>
        <w:jc w:val="center"/>
        <w:tblLayout w:type="fixed"/>
        <w:tblCellMar>
          <w:top w:w="0" w:type="dxa"/>
          <w:left w:w="0" w:type="dxa"/>
          <w:bottom w:w="0" w:type="dxa"/>
          <w:right w:w="0" w:type="dxa"/>
        </w:tblCellMar>
      </w:tblPr>
      <w:tblGrid>
        <w:gridCol w:w="863"/>
        <w:gridCol w:w="1291"/>
        <w:gridCol w:w="863"/>
        <w:gridCol w:w="863"/>
        <w:gridCol w:w="861"/>
        <w:gridCol w:w="2553"/>
        <w:gridCol w:w="1641"/>
        <w:gridCol w:w="865"/>
      </w:tblGrid>
      <w:tr>
        <w:tblPrEx>
          <w:tblCellMar>
            <w:top w:w="0" w:type="dxa"/>
            <w:left w:w="0" w:type="dxa"/>
            <w:bottom w:w="0" w:type="dxa"/>
            <w:right w:w="0" w:type="dxa"/>
          </w:tblCellMar>
        </w:tblPrEx>
        <w:trPr>
          <w:trHeight w:val="23" w:hRule="atLeast"/>
          <w:jc w:val="center"/>
        </w:trPr>
        <w:tc>
          <w:tcPr>
            <w:tcW w:w="8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序号</w:t>
            </w:r>
          </w:p>
        </w:tc>
        <w:tc>
          <w:tcPr>
            <w:tcW w:w="12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工作内容</w:t>
            </w:r>
          </w:p>
        </w:tc>
        <w:tc>
          <w:tcPr>
            <w:tcW w:w="25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周期</w:t>
            </w:r>
          </w:p>
        </w:tc>
        <w:tc>
          <w:tcPr>
            <w:tcW w:w="255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工作标准</w:t>
            </w:r>
          </w:p>
        </w:tc>
        <w:tc>
          <w:tcPr>
            <w:tcW w:w="16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扣分原因</w:t>
            </w:r>
          </w:p>
        </w:tc>
        <w:tc>
          <w:tcPr>
            <w:tcW w:w="8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扣分数</w:t>
            </w:r>
            <w:r>
              <w:rPr>
                <w:rFonts w:hint="eastAsia" w:ascii="仿宋_GB2312" w:hAnsi="仿宋_GB2312" w:cs="仿宋_GB2312"/>
                <w:kern w:val="0"/>
                <w:szCs w:val="21"/>
                <w:lang w:bidi="ar"/>
              </w:rPr>
              <w:br w:type="textWrapping"/>
            </w:r>
            <w:r>
              <w:rPr>
                <w:rFonts w:hint="eastAsia" w:ascii="仿宋_GB2312" w:hAnsi="仿宋_GB2312" w:cs="仿宋_GB2312"/>
                <w:kern w:val="0"/>
                <w:szCs w:val="21"/>
                <w:lang w:bidi="ar"/>
              </w:rPr>
              <w:t>（分）</w:t>
            </w:r>
          </w:p>
        </w:tc>
      </w:tr>
      <w:tr>
        <w:tblPrEx>
          <w:tblCellMar>
            <w:top w:w="0" w:type="dxa"/>
            <w:left w:w="0" w:type="dxa"/>
            <w:bottom w:w="0" w:type="dxa"/>
            <w:right w:w="0" w:type="dxa"/>
          </w:tblCellMar>
        </w:tblPrEx>
        <w:trPr>
          <w:trHeight w:val="23" w:hRule="atLeast"/>
          <w:jc w:val="center"/>
        </w:trPr>
        <w:tc>
          <w:tcPr>
            <w:tcW w:w="8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每季度</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每半年</w:t>
            </w: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每年</w:t>
            </w:r>
          </w:p>
        </w:tc>
        <w:tc>
          <w:tcPr>
            <w:tcW w:w="25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6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r>
      <w:tr>
        <w:tblPrEx>
          <w:tblCellMar>
            <w:top w:w="0" w:type="dxa"/>
            <w:left w:w="0" w:type="dxa"/>
            <w:bottom w:w="0" w:type="dxa"/>
            <w:right w:w="0"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c>
          <w:tcPr>
            <w:tcW w:w="1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化粪池</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color w:val="FF0000"/>
                <w:kern w:val="0"/>
                <w:szCs w:val="21"/>
                <w:lang w:bidi="ar"/>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ascii="仿宋_GB2312" w:hAnsi="仿宋_GB2312" w:cs="仿宋_GB2312"/>
                <w:color w:val="FF0000"/>
                <w:kern w:val="0"/>
                <w:szCs w:val="21"/>
                <w:lang w:bidi="ar"/>
              </w:rPr>
              <w:t>√</w:t>
            </w:r>
          </w:p>
        </w:tc>
        <w:tc>
          <w:tcPr>
            <w:tcW w:w="2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至少两次，视情况而定</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2</w:t>
            </w:r>
          </w:p>
        </w:tc>
        <w:tc>
          <w:tcPr>
            <w:tcW w:w="1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厌氧池</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color w:val="FF0000"/>
                <w:kern w:val="0"/>
                <w:szCs w:val="21"/>
                <w:lang w:bidi="ar"/>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ascii="仿宋_GB2312" w:hAnsi="仿宋_GB2312" w:cs="仿宋_GB2312"/>
                <w:color w:val="FF0000"/>
                <w:kern w:val="0"/>
                <w:szCs w:val="21"/>
                <w:lang w:bidi="ar"/>
              </w:rPr>
              <w:t>√</w:t>
            </w:r>
          </w:p>
        </w:tc>
        <w:tc>
          <w:tcPr>
            <w:tcW w:w="2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至少两次，视情况而定</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3</w:t>
            </w:r>
          </w:p>
        </w:tc>
        <w:tc>
          <w:tcPr>
            <w:tcW w:w="1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好氧池清洗</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color w:val="FF0000"/>
                <w:kern w:val="0"/>
                <w:szCs w:val="21"/>
                <w:lang w:bidi="ar"/>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ascii="仿宋_GB2312" w:hAnsi="仿宋_GB2312" w:cs="仿宋_GB2312"/>
                <w:color w:val="FF0000"/>
                <w:kern w:val="0"/>
                <w:szCs w:val="21"/>
                <w:lang w:bidi="ar"/>
              </w:rPr>
              <w:t>√</w:t>
            </w:r>
          </w:p>
        </w:tc>
        <w:tc>
          <w:tcPr>
            <w:tcW w:w="2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至少两次，视情况而定</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4</w:t>
            </w:r>
          </w:p>
        </w:tc>
        <w:tc>
          <w:tcPr>
            <w:tcW w:w="1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沉淀池清洗</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color w:val="FF0000"/>
                <w:kern w:val="0"/>
                <w:szCs w:val="21"/>
                <w:lang w:bidi="ar"/>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ascii="仿宋_GB2312" w:hAnsi="仿宋_GB2312" w:cs="仿宋_GB2312"/>
                <w:color w:val="FF0000"/>
                <w:kern w:val="0"/>
                <w:szCs w:val="21"/>
                <w:lang w:bidi="ar"/>
              </w:rPr>
              <w:t>√</w:t>
            </w:r>
          </w:p>
        </w:tc>
        <w:tc>
          <w:tcPr>
            <w:tcW w:w="2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至少两次，视情况而定</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5</w:t>
            </w:r>
          </w:p>
        </w:tc>
        <w:tc>
          <w:tcPr>
            <w:tcW w:w="1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9"/>
            </w:pPr>
            <w:r>
              <w:rPr>
                <w:rFonts w:hint="eastAsia"/>
              </w:rPr>
              <w:t>定量池</w:t>
            </w:r>
            <w:r>
              <w:rPr>
                <w:rFonts w:hint="eastAsia" w:ascii="仿宋_GB2312" w:hAnsi="仿宋_GB2312" w:cs="仿宋_GB2312"/>
                <w:kern w:val="0"/>
                <w:szCs w:val="21"/>
                <w:lang w:bidi="ar"/>
              </w:rPr>
              <w:t>清洗</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color w:val="FF0000"/>
                <w:kern w:val="0"/>
                <w:szCs w:val="21"/>
                <w:lang w:bidi="ar"/>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ascii="仿宋_GB2312" w:hAnsi="仿宋_GB2312" w:cs="仿宋_GB2312"/>
                <w:color w:val="FF0000"/>
                <w:kern w:val="0"/>
                <w:szCs w:val="21"/>
                <w:lang w:bidi="ar"/>
              </w:rPr>
              <w:t>√</w:t>
            </w:r>
          </w:p>
        </w:tc>
        <w:tc>
          <w:tcPr>
            <w:tcW w:w="2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至少两次，视情况而定</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6</w:t>
            </w:r>
          </w:p>
        </w:tc>
        <w:tc>
          <w:tcPr>
            <w:tcW w:w="1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排放口清洗</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63" w:type="dxa"/>
            <w:tcBorders>
              <w:top w:val="nil"/>
              <w:left w:val="nil"/>
              <w:bottom w:val="nil"/>
              <w:right w:val="nil"/>
            </w:tcBorders>
            <w:tcMar>
              <w:top w:w="15" w:type="dxa"/>
              <w:left w:w="15" w:type="dxa"/>
              <w:right w:w="15" w:type="dxa"/>
            </w:tcMar>
            <w:vAlign w:val="center"/>
          </w:tcPr>
          <w:p>
            <w:pPr>
              <w:jc w:val="center"/>
              <w:textAlignment w:val="center"/>
              <w:rPr>
                <w:rFonts w:ascii="仿宋_GB2312" w:hAnsi="仿宋_GB2312" w:cs="仿宋_GB2312"/>
                <w:color w:val="FF0000"/>
                <w:kern w:val="0"/>
                <w:szCs w:val="21"/>
                <w:lang w:bidi="ar"/>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ascii="仿宋_GB2312" w:hAnsi="仿宋_GB2312" w:cs="仿宋_GB2312"/>
                <w:color w:val="FF0000"/>
                <w:kern w:val="0"/>
                <w:szCs w:val="21"/>
                <w:lang w:bidi="ar"/>
              </w:rPr>
              <w:t>√</w:t>
            </w:r>
          </w:p>
        </w:tc>
        <w:tc>
          <w:tcPr>
            <w:tcW w:w="2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至少四次，视情况而定</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23" w:hRule="atLeast"/>
          <w:jc w:val="center"/>
        </w:trPr>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7</w:t>
            </w:r>
          </w:p>
        </w:tc>
        <w:tc>
          <w:tcPr>
            <w:tcW w:w="1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color w:val="FF0000"/>
                <w:kern w:val="0"/>
                <w:szCs w:val="21"/>
                <w:lang w:bidi="ar"/>
              </w:rPr>
              <w:t>除臭</w:t>
            </w:r>
            <w:r>
              <w:rPr>
                <w:rFonts w:hint="eastAsia"/>
              </w:rPr>
              <w:t>活性炭更换</w:t>
            </w: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color w:val="FF0000"/>
                <w:kern w:val="0"/>
                <w:szCs w:val="21"/>
                <w:lang w:bidi="ar"/>
              </w:rPr>
            </w:pPr>
          </w:p>
        </w:tc>
        <w:tc>
          <w:tcPr>
            <w:tcW w:w="8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pPr>
            <w:r>
              <w:rPr>
                <w:rFonts w:hint="eastAsia" w:ascii="仿宋_GB2312" w:hAnsi="仿宋_GB2312" w:cs="仿宋_GB2312"/>
                <w:color w:val="FF0000"/>
                <w:kern w:val="0"/>
                <w:szCs w:val="21"/>
                <w:lang w:bidi="ar"/>
              </w:rPr>
              <w:t>√</w:t>
            </w:r>
          </w:p>
        </w:tc>
        <w:tc>
          <w:tcPr>
            <w:tcW w:w="25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至少两次，视情况而定</w:t>
            </w:r>
          </w:p>
        </w:tc>
        <w:tc>
          <w:tcPr>
            <w:tcW w:w="1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bl>
    <w:p>
      <w:pPr>
        <w:ind w:firstLine="211" w:firstLineChars="100"/>
        <w:rPr>
          <w:rFonts w:ascii="黑体" w:hAnsi="黑体" w:eastAsia="黑体"/>
          <w:b/>
          <w:kern w:val="0"/>
        </w:rPr>
      </w:pPr>
      <w:r>
        <w:rPr>
          <w:rFonts w:hint="eastAsia" w:ascii="黑体" w:hAnsi="黑体" w:eastAsia="黑体"/>
          <w:b/>
          <w:kern w:val="0"/>
        </w:rPr>
        <w:t>（6）污水站工作考核标准</w:t>
      </w:r>
    </w:p>
    <w:tbl>
      <w:tblPr>
        <w:tblStyle w:val="57"/>
        <w:tblW w:w="9780" w:type="dxa"/>
        <w:jc w:val="center"/>
        <w:tblLayout w:type="fixed"/>
        <w:tblCellMar>
          <w:top w:w="0" w:type="dxa"/>
          <w:left w:w="0" w:type="dxa"/>
          <w:bottom w:w="0" w:type="dxa"/>
          <w:right w:w="0" w:type="dxa"/>
        </w:tblCellMar>
      </w:tblPr>
      <w:tblGrid>
        <w:gridCol w:w="661"/>
        <w:gridCol w:w="2438"/>
        <w:gridCol w:w="429"/>
        <w:gridCol w:w="430"/>
        <w:gridCol w:w="429"/>
        <w:gridCol w:w="629"/>
        <w:gridCol w:w="630"/>
        <w:gridCol w:w="428"/>
        <w:gridCol w:w="1246"/>
        <w:gridCol w:w="1612"/>
        <w:gridCol w:w="848"/>
      </w:tblGrid>
      <w:tr>
        <w:tblPrEx>
          <w:tblCellMar>
            <w:top w:w="0" w:type="dxa"/>
            <w:left w:w="0" w:type="dxa"/>
            <w:bottom w:w="0" w:type="dxa"/>
            <w:right w:w="0" w:type="dxa"/>
          </w:tblCellMar>
        </w:tblPrEx>
        <w:trPr>
          <w:trHeight w:val="522" w:hRule="atLeast"/>
          <w:jc w:val="center"/>
        </w:trPr>
        <w:tc>
          <w:tcPr>
            <w:tcW w:w="66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序号</w:t>
            </w:r>
          </w:p>
        </w:tc>
        <w:tc>
          <w:tcPr>
            <w:tcW w:w="24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工作内容</w:t>
            </w:r>
          </w:p>
        </w:tc>
        <w:tc>
          <w:tcPr>
            <w:tcW w:w="297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周期</w:t>
            </w:r>
          </w:p>
        </w:tc>
        <w:tc>
          <w:tcPr>
            <w:tcW w:w="124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备注</w:t>
            </w:r>
          </w:p>
        </w:tc>
        <w:tc>
          <w:tcPr>
            <w:tcW w:w="161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扣分原因</w:t>
            </w:r>
          </w:p>
        </w:tc>
        <w:tc>
          <w:tcPr>
            <w:tcW w:w="8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扣分数</w:t>
            </w:r>
            <w:r>
              <w:rPr>
                <w:rFonts w:hint="eastAsia" w:ascii="仿宋_GB2312" w:hAnsi="仿宋_GB2312" w:cs="仿宋_GB2312"/>
                <w:kern w:val="0"/>
                <w:szCs w:val="21"/>
                <w:lang w:bidi="ar"/>
              </w:rPr>
              <w:br w:type="textWrapping"/>
            </w:r>
            <w:r>
              <w:rPr>
                <w:rFonts w:hint="eastAsia" w:ascii="仿宋_GB2312" w:hAnsi="仿宋_GB2312" w:cs="仿宋_GB2312"/>
                <w:kern w:val="0"/>
                <w:szCs w:val="21"/>
                <w:lang w:bidi="ar"/>
              </w:rPr>
              <w:t>（分）</w:t>
            </w:r>
          </w:p>
        </w:tc>
      </w:tr>
      <w:tr>
        <w:tblPrEx>
          <w:tblCellMar>
            <w:top w:w="0" w:type="dxa"/>
            <w:left w:w="0" w:type="dxa"/>
            <w:bottom w:w="0" w:type="dxa"/>
            <w:right w:w="0" w:type="dxa"/>
          </w:tblCellMar>
        </w:tblPrEx>
        <w:trPr>
          <w:trHeight w:val="641" w:hRule="atLeast"/>
          <w:jc w:val="center"/>
        </w:trPr>
        <w:tc>
          <w:tcPr>
            <w:tcW w:w="66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24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每日</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每周</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每月</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每季度</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每半年</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每年</w:t>
            </w:r>
          </w:p>
        </w:tc>
        <w:tc>
          <w:tcPr>
            <w:tcW w:w="124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61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8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r>
      <w:tr>
        <w:tblPrEx>
          <w:tblCellMar>
            <w:top w:w="0" w:type="dxa"/>
            <w:left w:w="0" w:type="dxa"/>
            <w:bottom w:w="0" w:type="dxa"/>
            <w:right w:w="0" w:type="dxa"/>
          </w:tblCellMar>
        </w:tblPrEx>
        <w:trPr>
          <w:trHeight w:val="343"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药剂及材料购买</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343"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2</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化学药剂投放</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343"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3</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负责每日运营现场及周边环境的清洁；</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343"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4</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负责化粪池、工艺水池的巡检巡查；</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641"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5</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设备设施的日常检查及维护；</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1157"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6</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每天负责排污口水量大小及水质的观察，负责余氯及PH的每日不低于2次监测；</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343"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7</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根据工作完成情况按要求做好记录。</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343"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8</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负责外排污水达标排放水质检测</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取水样送第三方单位检测</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661"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9</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负责每月污水站基础数据的统计及分析，现场资料的收集及整理；</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661"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10</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人员的定期业务培训、管理培训、知识更新培训；</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661"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11</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每年不低于两次应急演练的方案编制及演练实施；</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343"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12</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负责落实业主临时交代的工作任务。</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532"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13</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环境保护突发事故的处理措施及应急处理；</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532"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14</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接受院领导及各级政府部门的督查和检查；</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r>
        <w:tblPrEx>
          <w:tblCellMar>
            <w:top w:w="0" w:type="dxa"/>
            <w:left w:w="0" w:type="dxa"/>
            <w:bottom w:w="0" w:type="dxa"/>
            <w:right w:w="0" w:type="dxa"/>
          </w:tblCellMar>
        </w:tblPrEx>
        <w:trPr>
          <w:trHeight w:val="472" w:hRule="atLeast"/>
          <w:jc w:val="center"/>
        </w:trPr>
        <w:tc>
          <w:tcPr>
            <w:tcW w:w="6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15</w:t>
            </w:r>
          </w:p>
        </w:tc>
        <w:tc>
          <w:tcPr>
            <w:tcW w:w="24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化粪池清掏工作</w:t>
            </w: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4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w:t>
            </w:r>
          </w:p>
        </w:tc>
        <w:tc>
          <w:tcPr>
            <w:tcW w:w="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center"/>
              <w:rPr>
                <w:rFonts w:ascii="仿宋_GB2312" w:hAnsi="仿宋_GB2312" w:cs="仿宋_GB2312"/>
                <w:kern w:val="0"/>
                <w:szCs w:val="21"/>
                <w:lang w:bidi="ar"/>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不合格一次</w:t>
            </w:r>
          </w:p>
        </w:tc>
        <w:tc>
          <w:tcPr>
            <w:tcW w:w="8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仿宋_GB2312" w:cs="仿宋_GB2312"/>
                <w:kern w:val="0"/>
                <w:szCs w:val="21"/>
                <w:lang w:bidi="ar"/>
              </w:rPr>
            </w:pPr>
            <w:r>
              <w:rPr>
                <w:rFonts w:hint="eastAsia" w:ascii="仿宋_GB2312" w:hAnsi="仿宋_GB2312" w:cs="仿宋_GB2312"/>
                <w:kern w:val="0"/>
                <w:szCs w:val="21"/>
                <w:lang w:bidi="ar"/>
              </w:rPr>
              <w:t>1</w:t>
            </w:r>
          </w:p>
        </w:tc>
      </w:tr>
    </w:tbl>
    <w:p>
      <w:pPr>
        <w:ind w:firstLine="211" w:firstLineChars="100"/>
        <w:rPr>
          <w:rFonts w:ascii="黑体" w:hAnsi="黑体" w:eastAsia="黑体"/>
          <w:b/>
          <w:kern w:val="0"/>
          <w:sz w:val="28"/>
          <w:szCs w:val="28"/>
        </w:rPr>
      </w:pPr>
      <w:r>
        <w:rPr>
          <w:rFonts w:hint="eastAsia" w:ascii="黑体" w:hAnsi="黑体" w:eastAsia="黑体"/>
          <w:b/>
          <w:kern w:val="0"/>
        </w:rPr>
        <w:t>（7）其他考核标准</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750"/>
        <w:gridCol w:w="2425"/>
        <w:gridCol w:w="888"/>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Align w:val="center"/>
          </w:tcPr>
          <w:p>
            <w:pPr>
              <w:spacing w:line="280" w:lineRule="exact"/>
              <w:rPr>
                <w:rFonts w:ascii="仿宋_GB2312" w:cs="黑体"/>
                <w:szCs w:val="18"/>
              </w:rPr>
            </w:pPr>
            <w:r>
              <w:rPr>
                <w:rFonts w:hint="eastAsia" w:ascii="仿宋_GB2312" w:cs="黑体"/>
                <w:szCs w:val="18"/>
              </w:rPr>
              <w:t>分部名称</w:t>
            </w:r>
          </w:p>
        </w:tc>
        <w:tc>
          <w:tcPr>
            <w:tcW w:w="3750" w:type="dxa"/>
            <w:vAlign w:val="center"/>
          </w:tcPr>
          <w:p>
            <w:pPr>
              <w:spacing w:line="280" w:lineRule="exact"/>
              <w:rPr>
                <w:rFonts w:ascii="仿宋_GB2312" w:cs="黑体"/>
                <w:szCs w:val="18"/>
              </w:rPr>
            </w:pPr>
            <w:r>
              <w:rPr>
                <w:rFonts w:hint="eastAsia" w:ascii="仿宋_GB2312" w:cs="黑体"/>
                <w:szCs w:val="18"/>
              </w:rPr>
              <w:t>考核标准</w:t>
            </w:r>
          </w:p>
        </w:tc>
        <w:tc>
          <w:tcPr>
            <w:tcW w:w="2425" w:type="dxa"/>
            <w:vAlign w:val="center"/>
          </w:tcPr>
          <w:p>
            <w:pPr>
              <w:spacing w:line="280" w:lineRule="exact"/>
              <w:rPr>
                <w:rFonts w:ascii="仿宋_GB2312" w:cs="黑体"/>
                <w:szCs w:val="18"/>
              </w:rPr>
            </w:pPr>
            <w:r>
              <w:rPr>
                <w:rFonts w:hint="eastAsia" w:ascii="仿宋_GB2312" w:cs="黑体"/>
                <w:szCs w:val="18"/>
              </w:rPr>
              <w:t>扣分原因</w:t>
            </w:r>
          </w:p>
        </w:tc>
        <w:tc>
          <w:tcPr>
            <w:tcW w:w="888" w:type="dxa"/>
            <w:vAlign w:val="center"/>
          </w:tcPr>
          <w:p>
            <w:pPr>
              <w:spacing w:line="280" w:lineRule="exact"/>
              <w:jc w:val="center"/>
              <w:rPr>
                <w:rFonts w:ascii="仿宋_GB2312" w:cs="黑体"/>
                <w:szCs w:val="18"/>
              </w:rPr>
            </w:pPr>
            <w:r>
              <w:rPr>
                <w:rFonts w:hint="eastAsia" w:ascii="仿宋_GB2312" w:cs="黑体"/>
                <w:szCs w:val="18"/>
              </w:rPr>
              <w:t>扣分数（分）</w:t>
            </w:r>
          </w:p>
        </w:tc>
        <w:tc>
          <w:tcPr>
            <w:tcW w:w="2034" w:type="dxa"/>
            <w:vAlign w:val="center"/>
          </w:tcPr>
          <w:p>
            <w:pPr>
              <w:spacing w:line="280" w:lineRule="exact"/>
              <w:rPr>
                <w:rFonts w:ascii="仿宋_GB2312" w:cs="黑体"/>
                <w:szCs w:val="18"/>
              </w:rPr>
            </w:pPr>
            <w:r>
              <w:rPr>
                <w:rFonts w:hint="eastAsia" w:ascii="仿宋_GB2312" w:cs="黑体"/>
                <w:szCs w:val="18"/>
              </w:rPr>
              <w:t>其它处理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restart"/>
            <w:vAlign w:val="center"/>
          </w:tcPr>
          <w:p>
            <w:pPr>
              <w:spacing w:line="280" w:lineRule="exact"/>
              <w:rPr>
                <w:rFonts w:ascii="仿宋_GB2312" w:cs="黑体"/>
                <w:szCs w:val="18"/>
              </w:rPr>
            </w:pPr>
          </w:p>
          <w:p>
            <w:pPr>
              <w:spacing w:line="280" w:lineRule="exact"/>
              <w:rPr>
                <w:rFonts w:ascii="仿宋_GB2312" w:cs="黑体"/>
                <w:szCs w:val="18"/>
              </w:rPr>
            </w:pPr>
            <w:r>
              <w:rPr>
                <w:rFonts w:hint="eastAsia" w:ascii="仿宋_GB2312" w:cs="黑体"/>
                <w:szCs w:val="18"/>
              </w:rPr>
              <w:t>员工管理</w:t>
            </w:r>
          </w:p>
          <w:p>
            <w:pPr>
              <w:spacing w:line="280" w:lineRule="exact"/>
              <w:rPr>
                <w:rFonts w:ascii="仿宋_GB2312" w:cs="黑体"/>
                <w:szCs w:val="18"/>
              </w:rPr>
            </w:pPr>
          </w:p>
          <w:p>
            <w:pPr>
              <w:spacing w:line="280" w:lineRule="exact"/>
              <w:ind w:firstLine="420"/>
              <w:rPr>
                <w:rFonts w:ascii="仿宋_GB2312" w:cs="黑体"/>
                <w:szCs w:val="18"/>
              </w:rPr>
            </w:pPr>
          </w:p>
        </w:tc>
        <w:tc>
          <w:tcPr>
            <w:tcW w:w="3750" w:type="dxa"/>
            <w:vAlign w:val="center"/>
          </w:tcPr>
          <w:p>
            <w:pPr>
              <w:spacing w:line="280" w:lineRule="exact"/>
              <w:rPr>
                <w:rFonts w:ascii="仿宋_GB2312" w:cs="黑体"/>
                <w:szCs w:val="18"/>
              </w:rPr>
            </w:pPr>
            <w:r>
              <w:rPr>
                <w:rFonts w:hint="eastAsia" w:ascii="仿宋_GB2312" w:cs="黑体"/>
                <w:szCs w:val="18"/>
              </w:rPr>
              <w:t>统一穿戴甲方认可确定的服装，并佩戴统一发放的工作牌；上班时间不穿拖鞋，凉鞋；头发干净、整洁，不留怪异发型和色发，男员工应留短发，女员工长发应束起，且不能浓妆艳抹；保持手部清洁，不留长指甲，不涂有色指甲油。</w:t>
            </w:r>
          </w:p>
        </w:tc>
        <w:tc>
          <w:tcPr>
            <w:tcW w:w="2425" w:type="dxa"/>
            <w:vAlign w:val="center"/>
          </w:tcPr>
          <w:p>
            <w:pPr>
              <w:spacing w:line="280" w:lineRule="exact"/>
              <w:rPr>
                <w:rFonts w:ascii="仿宋_GB2312" w:cs="黑体"/>
                <w:szCs w:val="18"/>
              </w:rPr>
            </w:pPr>
            <w:r>
              <w:rPr>
                <w:rFonts w:hint="eastAsia" w:ascii="仿宋_GB2312" w:cs="黑体"/>
                <w:szCs w:val="18"/>
              </w:rPr>
              <w:t>发现工作人员仪容仪表不符合标准</w:t>
            </w:r>
            <w:r>
              <w:rPr>
                <w:rFonts w:ascii="仿宋_GB2312" w:cs="黑体"/>
                <w:szCs w:val="18"/>
              </w:rPr>
              <w:t>1</w:t>
            </w:r>
            <w:r>
              <w:rPr>
                <w:rFonts w:hint="eastAsia" w:ascii="仿宋_GB2312" w:cs="黑体"/>
                <w:szCs w:val="18"/>
              </w:rPr>
              <w:t>次</w:t>
            </w:r>
          </w:p>
        </w:tc>
        <w:tc>
          <w:tcPr>
            <w:tcW w:w="888" w:type="dxa"/>
            <w:vAlign w:val="center"/>
          </w:tcPr>
          <w:p>
            <w:pPr>
              <w:jc w:val="center"/>
              <w:rPr>
                <w:rFonts w:ascii="仿宋_GB2312"/>
                <w:szCs w:val="21"/>
              </w:rPr>
            </w:pPr>
            <w:r>
              <w:rPr>
                <w:rFonts w:hint="eastAsia" w:ascii="仿宋_GB2312"/>
                <w:szCs w:val="21"/>
              </w:rPr>
              <w:t>1</w:t>
            </w:r>
          </w:p>
        </w:tc>
        <w:tc>
          <w:tcPr>
            <w:tcW w:w="2034" w:type="dxa"/>
            <w:vAlign w:val="center"/>
          </w:tcPr>
          <w:p>
            <w:pPr>
              <w:spacing w:line="280" w:lineRule="exact"/>
              <w:rPr>
                <w:rFonts w:ascii="仿宋_GB2312" w:cs="黑体"/>
                <w:szCs w:val="18"/>
              </w:rPr>
            </w:pPr>
            <w:r>
              <w:rPr>
                <w:rFonts w:hint="eastAsia" w:ascii="仿宋_GB2312" w:cs="黑体"/>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vAlign w:val="center"/>
          </w:tcPr>
          <w:p>
            <w:pPr>
              <w:spacing w:line="280" w:lineRule="exact"/>
              <w:ind w:firstLine="420"/>
              <w:rPr>
                <w:rFonts w:ascii="仿宋_GB2312" w:cs="黑体"/>
                <w:szCs w:val="18"/>
              </w:rPr>
            </w:pPr>
          </w:p>
        </w:tc>
        <w:tc>
          <w:tcPr>
            <w:tcW w:w="3750" w:type="dxa"/>
            <w:vMerge w:val="restart"/>
            <w:vAlign w:val="center"/>
          </w:tcPr>
          <w:p>
            <w:pPr>
              <w:spacing w:line="280" w:lineRule="exact"/>
              <w:rPr>
                <w:rFonts w:ascii="仿宋_GB2312" w:cs="黑体"/>
                <w:szCs w:val="18"/>
              </w:rPr>
            </w:pPr>
            <w:r>
              <w:rPr>
                <w:rFonts w:hint="eastAsia" w:ascii="仿宋_GB2312" w:cs="黑体"/>
                <w:szCs w:val="18"/>
              </w:rPr>
              <w:t>服务人员主动服务，礼貌待客，亲切自然、不卑不亢。遇询问时回答问题应准确、耐心、有问必答，态度不生硬、不刁难，不发生争执；对老、弱、病、残、孕等特殊提供方便，对一视同仁，尊重民族习俗和宗教信仰。</w:t>
            </w:r>
          </w:p>
        </w:tc>
        <w:tc>
          <w:tcPr>
            <w:tcW w:w="2425" w:type="dxa"/>
            <w:vAlign w:val="center"/>
          </w:tcPr>
          <w:p>
            <w:pPr>
              <w:spacing w:line="280" w:lineRule="exact"/>
              <w:rPr>
                <w:rFonts w:ascii="仿宋_GB2312" w:cs="黑体"/>
                <w:szCs w:val="18"/>
              </w:rPr>
            </w:pPr>
            <w:r>
              <w:rPr>
                <w:rFonts w:hint="eastAsia" w:ascii="仿宋_GB2312" w:cs="黑体"/>
                <w:szCs w:val="18"/>
              </w:rPr>
              <w:t>发现工作人员服务态度不好，未达到标准要求</w:t>
            </w:r>
            <w:r>
              <w:rPr>
                <w:rFonts w:ascii="仿宋_GB2312" w:cs="黑体"/>
                <w:szCs w:val="18"/>
              </w:rPr>
              <w:t>1</w:t>
            </w:r>
            <w:r>
              <w:rPr>
                <w:rFonts w:hint="eastAsia" w:ascii="仿宋_GB2312" w:cs="黑体"/>
                <w:szCs w:val="18"/>
              </w:rPr>
              <w:t>次</w:t>
            </w:r>
          </w:p>
          <w:p>
            <w:pPr>
              <w:spacing w:line="280" w:lineRule="exact"/>
              <w:rPr>
                <w:rFonts w:ascii="仿宋_GB2312" w:cs="黑体"/>
                <w:szCs w:val="18"/>
              </w:rPr>
            </w:pPr>
          </w:p>
        </w:tc>
        <w:tc>
          <w:tcPr>
            <w:tcW w:w="888" w:type="dxa"/>
            <w:vAlign w:val="center"/>
          </w:tcPr>
          <w:p>
            <w:pPr>
              <w:jc w:val="center"/>
              <w:rPr>
                <w:rFonts w:ascii="仿宋_GB2312"/>
                <w:szCs w:val="21"/>
              </w:rPr>
            </w:pPr>
            <w:r>
              <w:rPr>
                <w:rFonts w:hint="eastAsia" w:ascii="仿宋_GB2312"/>
                <w:szCs w:val="21"/>
              </w:rPr>
              <w:t>1</w:t>
            </w:r>
          </w:p>
        </w:tc>
        <w:tc>
          <w:tcPr>
            <w:tcW w:w="2034" w:type="dxa"/>
            <w:vMerge w:val="restart"/>
            <w:vAlign w:val="center"/>
          </w:tcPr>
          <w:p>
            <w:pPr>
              <w:spacing w:line="280" w:lineRule="exact"/>
              <w:rPr>
                <w:rFonts w:ascii="仿宋_GB2312" w:cs="黑体"/>
                <w:szCs w:val="18"/>
              </w:rPr>
            </w:pPr>
            <w:r>
              <w:rPr>
                <w:rFonts w:hint="eastAsia" w:ascii="仿宋_GB2312" w:cs="黑体"/>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vAlign w:val="center"/>
          </w:tcPr>
          <w:p>
            <w:pPr>
              <w:spacing w:line="280" w:lineRule="exact"/>
              <w:ind w:firstLine="420"/>
              <w:rPr>
                <w:rFonts w:ascii="仿宋_GB2312" w:cs="黑体"/>
                <w:szCs w:val="18"/>
              </w:rPr>
            </w:pPr>
          </w:p>
        </w:tc>
        <w:tc>
          <w:tcPr>
            <w:tcW w:w="3750" w:type="dxa"/>
            <w:vMerge w:val="continue"/>
            <w:vAlign w:val="center"/>
          </w:tcPr>
          <w:p>
            <w:pPr>
              <w:spacing w:line="280" w:lineRule="exact"/>
              <w:rPr>
                <w:rFonts w:ascii="仿宋_GB2312" w:cs="黑体"/>
                <w:szCs w:val="18"/>
              </w:rPr>
            </w:pPr>
          </w:p>
        </w:tc>
        <w:tc>
          <w:tcPr>
            <w:tcW w:w="2425" w:type="dxa"/>
            <w:vAlign w:val="center"/>
          </w:tcPr>
          <w:p>
            <w:pPr>
              <w:spacing w:line="280" w:lineRule="exact"/>
              <w:rPr>
                <w:rFonts w:ascii="仿宋_GB2312" w:cs="黑体"/>
                <w:szCs w:val="18"/>
              </w:rPr>
            </w:pPr>
            <w:r>
              <w:rPr>
                <w:rFonts w:hint="eastAsia" w:ascii="仿宋_GB2312" w:cs="黑体"/>
                <w:szCs w:val="18"/>
              </w:rPr>
              <w:t>发现在工作中讲粗话或因讲粗话被投诉</w:t>
            </w:r>
            <w:r>
              <w:rPr>
                <w:rFonts w:ascii="仿宋_GB2312" w:cs="黑体"/>
                <w:szCs w:val="18"/>
              </w:rPr>
              <w:t>1</w:t>
            </w:r>
            <w:r>
              <w:rPr>
                <w:rFonts w:hint="eastAsia" w:ascii="仿宋_GB2312" w:cs="黑体"/>
                <w:szCs w:val="18"/>
              </w:rPr>
              <w:t>次</w:t>
            </w:r>
          </w:p>
        </w:tc>
        <w:tc>
          <w:tcPr>
            <w:tcW w:w="888" w:type="dxa"/>
            <w:vAlign w:val="center"/>
          </w:tcPr>
          <w:p>
            <w:pPr>
              <w:jc w:val="center"/>
              <w:rPr>
                <w:rFonts w:ascii="仿宋_GB2312"/>
                <w:szCs w:val="21"/>
              </w:rPr>
            </w:pPr>
            <w:r>
              <w:rPr>
                <w:rFonts w:hint="eastAsia" w:ascii="仿宋_GB2312"/>
                <w:szCs w:val="21"/>
              </w:rPr>
              <w:t>1</w:t>
            </w:r>
          </w:p>
        </w:tc>
        <w:tc>
          <w:tcPr>
            <w:tcW w:w="2034" w:type="dxa"/>
            <w:vMerge w:val="continue"/>
            <w:vAlign w:val="center"/>
          </w:tcPr>
          <w:p>
            <w:pPr>
              <w:spacing w:line="280" w:lineRule="exact"/>
              <w:rPr>
                <w:rFonts w:ascii="仿宋_GB2312" w:cs="黑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vAlign w:val="center"/>
          </w:tcPr>
          <w:p>
            <w:pPr>
              <w:spacing w:line="280" w:lineRule="exact"/>
              <w:ind w:firstLine="420"/>
              <w:rPr>
                <w:rFonts w:ascii="仿宋_GB2312" w:cs="黑体"/>
                <w:szCs w:val="18"/>
              </w:rPr>
            </w:pPr>
          </w:p>
        </w:tc>
        <w:tc>
          <w:tcPr>
            <w:tcW w:w="3750" w:type="dxa"/>
            <w:vAlign w:val="center"/>
          </w:tcPr>
          <w:p>
            <w:pPr>
              <w:spacing w:line="280" w:lineRule="exact"/>
              <w:rPr>
                <w:rFonts w:ascii="仿宋_GB2312" w:cs="黑体"/>
                <w:szCs w:val="18"/>
              </w:rPr>
            </w:pPr>
            <w:r>
              <w:rPr>
                <w:rFonts w:hint="eastAsia" w:ascii="仿宋_GB2312" w:cs="黑体"/>
                <w:szCs w:val="18"/>
              </w:rPr>
              <w:t>工作人员不在工作场所大声喧哗、嬉笑打闹，做到说话轻、操作轻；要嘴勤、眼勤、腿勤、手勤；工作期间不串岗、空岗，不扎堆聊天。</w:t>
            </w:r>
          </w:p>
        </w:tc>
        <w:tc>
          <w:tcPr>
            <w:tcW w:w="2425" w:type="dxa"/>
            <w:vAlign w:val="center"/>
          </w:tcPr>
          <w:p>
            <w:pPr>
              <w:spacing w:line="280" w:lineRule="exact"/>
              <w:rPr>
                <w:rFonts w:ascii="仿宋_GB2312" w:cs="黑体"/>
                <w:szCs w:val="18"/>
              </w:rPr>
            </w:pPr>
            <w:r>
              <w:rPr>
                <w:rFonts w:hint="eastAsia" w:ascii="仿宋_GB2312" w:cs="黑体"/>
                <w:szCs w:val="18"/>
              </w:rPr>
              <w:t>在工作场所大声喧哗、打闹嬉戏，或工作期间串岗、空岗被发现</w:t>
            </w:r>
            <w:r>
              <w:rPr>
                <w:rFonts w:ascii="仿宋_GB2312" w:cs="黑体"/>
                <w:szCs w:val="18"/>
              </w:rPr>
              <w:t>1</w:t>
            </w:r>
            <w:r>
              <w:rPr>
                <w:rFonts w:hint="eastAsia" w:ascii="仿宋_GB2312" w:cs="黑体"/>
                <w:szCs w:val="18"/>
              </w:rPr>
              <w:t>次</w:t>
            </w:r>
          </w:p>
        </w:tc>
        <w:tc>
          <w:tcPr>
            <w:tcW w:w="888" w:type="dxa"/>
            <w:vAlign w:val="center"/>
          </w:tcPr>
          <w:p>
            <w:pPr>
              <w:jc w:val="center"/>
              <w:rPr>
                <w:rFonts w:ascii="仿宋_GB2312"/>
                <w:szCs w:val="21"/>
              </w:rPr>
            </w:pPr>
            <w:r>
              <w:rPr>
                <w:rFonts w:hint="eastAsia" w:ascii="仿宋_GB2312"/>
                <w:szCs w:val="21"/>
              </w:rPr>
              <w:t>1</w:t>
            </w:r>
          </w:p>
        </w:tc>
        <w:tc>
          <w:tcPr>
            <w:tcW w:w="2034" w:type="dxa"/>
            <w:vMerge w:val="continue"/>
            <w:vAlign w:val="center"/>
          </w:tcPr>
          <w:p>
            <w:pPr>
              <w:spacing w:line="280" w:lineRule="exact"/>
              <w:rPr>
                <w:rFonts w:ascii="仿宋_GB2312" w:cs="黑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vAlign w:val="center"/>
          </w:tcPr>
          <w:p>
            <w:pPr>
              <w:spacing w:line="280" w:lineRule="exact"/>
              <w:rPr>
                <w:rFonts w:ascii="仿宋_GB2312" w:cs="黑体"/>
                <w:szCs w:val="18"/>
              </w:rPr>
            </w:pPr>
          </w:p>
        </w:tc>
        <w:tc>
          <w:tcPr>
            <w:tcW w:w="3750" w:type="dxa"/>
            <w:vAlign w:val="center"/>
          </w:tcPr>
          <w:p>
            <w:pPr>
              <w:spacing w:line="280" w:lineRule="exact"/>
              <w:rPr>
                <w:rFonts w:ascii="仿宋_GB2312" w:cs="黑体"/>
                <w:szCs w:val="18"/>
              </w:rPr>
            </w:pPr>
          </w:p>
          <w:p>
            <w:pPr>
              <w:spacing w:line="280" w:lineRule="exact"/>
              <w:rPr>
                <w:rFonts w:ascii="仿宋_GB2312" w:cs="黑体"/>
                <w:szCs w:val="18"/>
              </w:rPr>
            </w:pPr>
            <w:r>
              <w:rPr>
                <w:rFonts w:hint="eastAsia" w:ascii="仿宋_GB2312" w:cs="黑体"/>
                <w:szCs w:val="18"/>
              </w:rPr>
              <w:t>工作人员在工作中应用普通话交流，严禁粗话、脏话。服务人员在岗在位，按时上下班，不迟到早退。</w:t>
            </w:r>
          </w:p>
          <w:p>
            <w:pPr>
              <w:spacing w:line="280" w:lineRule="exact"/>
              <w:rPr>
                <w:rFonts w:ascii="仿宋_GB2312" w:cs="黑体"/>
                <w:szCs w:val="18"/>
              </w:rPr>
            </w:pPr>
          </w:p>
        </w:tc>
        <w:tc>
          <w:tcPr>
            <w:tcW w:w="2425" w:type="dxa"/>
            <w:vAlign w:val="center"/>
          </w:tcPr>
          <w:p>
            <w:pPr>
              <w:spacing w:line="280" w:lineRule="exact"/>
              <w:rPr>
                <w:rFonts w:ascii="仿宋_GB2312" w:cs="黑体"/>
                <w:szCs w:val="18"/>
              </w:rPr>
            </w:pPr>
            <w:r>
              <w:rPr>
                <w:rFonts w:hint="eastAsia" w:ascii="仿宋_GB2312" w:cs="黑体"/>
                <w:szCs w:val="18"/>
              </w:rPr>
              <w:t>因工作人员服务态度不好引起有效投诉</w:t>
            </w:r>
            <w:r>
              <w:rPr>
                <w:rFonts w:ascii="仿宋_GB2312" w:cs="黑体"/>
                <w:szCs w:val="18"/>
              </w:rPr>
              <w:t>1</w:t>
            </w:r>
            <w:r>
              <w:rPr>
                <w:rFonts w:hint="eastAsia" w:ascii="仿宋_GB2312" w:cs="黑体"/>
                <w:szCs w:val="18"/>
              </w:rPr>
              <w:t>次，且未得到妥善处理造成影响的。</w:t>
            </w:r>
          </w:p>
        </w:tc>
        <w:tc>
          <w:tcPr>
            <w:tcW w:w="888" w:type="dxa"/>
            <w:vAlign w:val="center"/>
          </w:tcPr>
          <w:p>
            <w:pPr>
              <w:jc w:val="center"/>
              <w:rPr>
                <w:rFonts w:ascii="仿宋_GB2312"/>
                <w:szCs w:val="21"/>
              </w:rPr>
            </w:pPr>
            <w:r>
              <w:rPr>
                <w:rFonts w:hint="eastAsia" w:ascii="仿宋_GB2312"/>
                <w:szCs w:val="21"/>
              </w:rPr>
              <w:t>1</w:t>
            </w:r>
          </w:p>
        </w:tc>
        <w:tc>
          <w:tcPr>
            <w:tcW w:w="2034" w:type="dxa"/>
            <w:vAlign w:val="center"/>
          </w:tcPr>
          <w:p>
            <w:pPr>
              <w:spacing w:line="280" w:lineRule="exact"/>
              <w:rPr>
                <w:rFonts w:ascii="仿宋_GB2312" w:cs="黑体"/>
                <w:szCs w:val="18"/>
              </w:rPr>
            </w:pPr>
            <w:r>
              <w:rPr>
                <w:rFonts w:hint="eastAsia" w:ascii="仿宋_GB2312" w:cs="黑体"/>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vAlign w:val="center"/>
          </w:tcPr>
          <w:p>
            <w:pPr>
              <w:spacing w:line="280" w:lineRule="exact"/>
              <w:rPr>
                <w:rFonts w:ascii="仿宋_GB2312" w:cs="黑体"/>
                <w:szCs w:val="18"/>
              </w:rPr>
            </w:pPr>
          </w:p>
        </w:tc>
        <w:tc>
          <w:tcPr>
            <w:tcW w:w="3750" w:type="dxa"/>
            <w:vAlign w:val="center"/>
          </w:tcPr>
          <w:p>
            <w:pPr>
              <w:spacing w:line="280" w:lineRule="exact"/>
              <w:ind w:firstLine="420"/>
              <w:rPr>
                <w:rFonts w:ascii="仿宋_GB2312" w:cs="黑体"/>
                <w:szCs w:val="18"/>
              </w:rPr>
            </w:pPr>
            <w:r>
              <w:rPr>
                <w:rFonts w:hint="eastAsia" w:ascii="仿宋_GB2312" w:cs="黑体"/>
                <w:szCs w:val="18"/>
              </w:rPr>
              <w:t>污水处理人员不得缺编</w:t>
            </w:r>
          </w:p>
        </w:tc>
        <w:tc>
          <w:tcPr>
            <w:tcW w:w="2425" w:type="dxa"/>
            <w:vAlign w:val="center"/>
          </w:tcPr>
          <w:p>
            <w:pPr>
              <w:spacing w:line="280" w:lineRule="exact"/>
              <w:rPr>
                <w:rFonts w:ascii="仿宋_GB2312" w:cs="黑体"/>
                <w:szCs w:val="18"/>
              </w:rPr>
            </w:pPr>
            <w:r>
              <w:rPr>
                <w:rFonts w:hint="eastAsia" w:ascii="仿宋_GB2312" w:cs="黑体"/>
                <w:szCs w:val="18"/>
              </w:rPr>
              <w:t>发现缺编岗位一天</w:t>
            </w:r>
          </w:p>
        </w:tc>
        <w:tc>
          <w:tcPr>
            <w:tcW w:w="888" w:type="dxa"/>
            <w:vAlign w:val="center"/>
          </w:tcPr>
          <w:p>
            <w:pPr>
              <w:jc w:val="center"/>
              <w:rPr>
                <w:rFonts w:ascii="仿宋_GB2312"/>
                <w:szCs w:val="21"/>
              </w:rPr>
            </w:pPr>
            <w:r>
              <w:rPr>
                <w:rFonts w:hint="eastAsia" w:ascii="仿宋_GB2312"/>
                <w:szCs w:val="21"/>
              </w:rPr>
              <w:t>2</w:t>
            </w:r>
          </w:p>
        </w:tc>
        <w:tc>
          <w:tcPr>
            <w:tcW w:w="2034" w:type="dxa"/>
            <w:vAlign w:val="center"/>
          </w:tcPr>
          <w:p>
            <w:pPr>
              <w:spacing w:line="280" w:lineRule="exact"/>
              <w:rPr>
                <w:rFonts w:ascii="仿宋_GB2312" w:cs="黑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vAlign w:val="center"/>
          </w:tcPr>
          <w:p>
            <w:pPr>
              <w:spacing w:line="280" w:lineRule="exact"/>
              <w:rPr>
                <w:rFonts w:ascii="仿宋_GB2312" w:cs="黑体"/>
                <w:szCs w:val="18"/>
              </w:rPr>
            </w:pPr>
          </w:p>
        </w:tc>
        <w:tc>
          <w:tcPr>
            <w:tcW w:w="3750" w:type="dxa"/>
            <w:vAlign w:val="center"/>
          </w:tcPr>
          <w:p>
            <w:pPr>
              <w:spacing w:line="280" w:lineRule="exact"/>
              <w:rPr>
                <w:rFonts w:ascii="仿宋_GB2312" w:cs="宋体"/>
                <w:szCs w:val="21"/>
              </w:rPr>
            </w:pPr>
            <w:r>
              <w:rPr>
                <w:rFonts w:hint="eastAsia" w:ascii="仿宋_GB2312" w:cs="黑体"/>
                <w:szCs w:val="18"/>
              </w:rPr>
              <w:t>污水处理人员不得破坏、损毁设施、花草树木；不得偷盗植物、设施、设备等；不得翻墙或采取其它不正当的手段进出。</w:t>
            </w:r>
          </w:p>
        </w:tc>
        <w:tc>
          <w:tcPr>
            <w:tcW w:w="2425" w:type="dxa"/>
            <w:vAlign w:val="center"/>
          </w:tcPr>
          <w:p>
            <w:pPr>
              <w:spacing w:line="280" w:lineRule="exact"/>
              <w:rPr>
                <w:rFonts w:ascii="仿宋_GB2312" w:cs="黑体"/>
                <w:szCs w:val="18"/>
              </w:rPr>
            </w:pPr>
            <w:r>
              <w:rPr>
                <w:rFonts w:hint="eastAsia" w:ascii="仿宋_GB2312" w:cs="黑体"/>
                <w:szCs w:val="18"/>
              </w:rPr>
              <w:t>违反规定</w:t>
            </w:r>
            <w:r>
              <w:rPr>
                <w:rFonts w:ascii="仿宋_GB2312" w:cs="黑体"/>
                <w:szCs w:val="18"/>
              </w:rPr>
              <w:t>1</w:t>
            </w:r>
            <w:r>
              <w:rPr>
                <w:rFonts w:hint="eastAsia" w:ascii="仿宋_GB2312" w:cs="黑体"/>
                <w:szCs w:val="18"/>
              </w:rPr>
              <w:t>次</w:t>
            </w:r>
          </w:p>
        </w:tc>
        <w:tc>
          <w:tcPr>
            <w:tcW w:w="888" w:type="dxa"/>
            <w:vAlign w:val="center"/>
          </w:tcPr>
          <w:p>
            <w:pPr>
              <w:jc w:val="center"/>
              <w:rPr>
                <w:rFonts w:ascii="仿宋_GB2312"/>
                <w:szCs w:val="21"/>
              </w:rPr>
            </w:pPr>
            <w:r>
              <w:rPr>
                <w:rFonts w:hint="eastAsia" w:ascii="仿宋_GB2312"/>
                <w:szCs w:val="21"/>
              </w:rPr>
              <w:t>3</w:t>
            </w:r>
          </w:p>
        </w:tc>
        <w:tc>
          <w:tcPr>
            <w:tcW w:w="2034" w:type="dxa"/>
            <w:vAlign w:val="center"/>
          </w:tcPr>
          <w:p>
            <w:pPr>
              <w:spacing w:line="280" w:lineRule="exact"/>
              <w:rPr>
                <w:rFonts w:ascii="仿宋_GB2312" w:cs="黑体"/>
                <w:szCs w:val="18"/>
              </w:rPr>
            </w:pPr>
            <w:r>
              <w:rPr>
                <w:rFonts w:hint="eastAsia" w:ascii="仿宋_GB2312" w:cs="黑体"/>
                <w:szCs w:val="18"/>
              </w:rPr>
              <w:t>如造成损失，承担相应的赔偿责任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Align w:val="center"/>
          </w:tcPr>
          <w:p>
            <w:pPr>
              <w:spacing w:line="280" w:lineRule="exact"/>
              <w:rPr>
                <w:rFonts w:ascii="仿宋_GB2312" w:cs="黑体"/>
                <w:szCs w:val="18"/>
              </w:rPr>
            </w:pPr>
            <w:r>
              <w:rPr>
                <w:rFonts w:hint="eastAsia" w:ascii="仿宋_GB2312" w:cs="黑体"/>
                <w:szCs w:val="18"/>
              </w:rPr>
              <w:t>应急事件处理</w:t>
            </w:r>
          </w:p>
        </w:tc>
        <w:tc>
          <w:tcPr>
            <w:tcW w:w="3750" w:type="dxa"/>
            <w:vAlign w:val="center"/>
          </w:tcPr>
          <w:p>
            <w:pPr>
              <w:spacing w:line="280" w:lineRule="exact"/>
              <w:rPr>
                <w:rFonts w:ascii="仿宋_GB2312" w:cs="黑体"/>
                <w:szCs w:val="18"/>
              </w:rPr>
            </w:pPr>
            <w:r>
              <w:rPr>
                <w:rFonts w:hint="eastAsia" w:ascii="仿宋_GB2312" w:cs="黑体"/>
                <w:szCs w:val="18"/>
              </w:rPr>
              <w:t>如遇紧急、迎检等情况，应全力配合采购方开展工作。</w:t>
            </w:r>
          </w:p>
        </w:tc>
        <w:tc>
          <w:tcPr>
            <w:tcW w:w="2425" w:type="dxa"/>
            <w:vAlign w:val="center"/>
          </w:tcPr>
          <w:p>
            <w:pPr>
              <w:spacing w:line="280" w:lineRule="exact"/>
              <w:rPr>
                <w:rFonts w:ascii="仿宋_GB2312" w:cs="黑体"/>
                <w:szCs w:val="18"/>
              </w:rPr>
            </w:pPr>
            <w:r>
              <w:rPr>
                <w:rFonts w:hint="eastAsia" w:ascii="仿宋_GB2312" w:cs="黑体"/>
                <w:szCs w:val="18"/>
              </w:rPr>
              <w:t>违反规定</w:t>
            </w:r>
            <w:r>
              <w:rPr>
                <w:rFonts w:ascii="仿宋_GB2312" w:cs="黑体"/>
                <w:szCs w:val="18"/>
              </w:rPr>
              <w:t>1</w:t>
            </w:r>
            <w:r>
              <w:rPr>
                <w:rFonts w:hint="eastAsia" w:ascii="仿宋_GB2312" w:cs="黑体"/>
                <w:szCs w:val="18"/>
              </w:rPr>
              <w:t>次</w:t>
            </w:r>
          </w:p>
        </w:tc>
        <w:tc>
          <w:tcPr>
            <w:tcW w:w="888" w:type="dxa"/>
            <w:vAlign w:val="center"/>
          </w:tcPr>
          <w:p>
            <w:pPr>
              <w:jc w:val="center"/>
              <w:rPr>
                <w:rFonts w:ascii="仿宋_GB2312"/>
                <w:szCs w:val="21"/>
              </w:rPr>
            </w:pPr>
            <w:r>
              <w:rPr>
                <w:rFonts w:hint="eastAsia" w:ascii="仿宋_GB2312"/>
                <w:szCs w:val="21"/>
              </w:rPr>
              <w:t>5</w:t>
            </w:r>
          </w:p>
        </w:tc>
        <w:tc>
          <w:tcPr>
            <w:tcW w:w="2034" w:type="dxa"/>
            <w:vAlign w:val="center"/>
          </w:tcPr>
          <w:p>
            <w:pPr>
              <w:spacing w:line="280" w:lineRule="exact"/>
              <w:rPr>
                <w:rFonts w:ascii="仿宋_GB2312" w:cs="黑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restart"/>
            <w:vAlign w:val="center"/>
          </w:tcPr>
          <w:p>
            <w:pPr>
              <w:spacing w:line="280" w:lineRule="exact"/>
              <w:rPr>
                <w:rFonts w:ascii="仿宋_GB2312" w:cs="黑体"/>
                <w:szCs w:val="18"/>
              </w:rPr>
            </w:pPr>
          </w:p>
          <w:p>
            <w:pPr>
              <w:spacing w:line="280" w:lineRule="exact"/>
              <w:rPr>
                <w:rFonts w:ascii="仿宋_GB2312" w:cs="黑体"/>
                <w:szCs w:val="18"/>
              </w:rPr>
            </w:pPr>
            <w:r>
              <w:rPr>
                <w:rFonts w:hint="eastAsia" w:ascii="仿宋_GB2312" w:cs="黑体"/>
                <w:szCs w:val="18"/>
              </w:rPr>
              <w:t>投诉及曝光</w:t>
            </w:r>
          </w:p>
        </w:tc>
        <w:tc>
          <w:tcPr>
            <w:tcW w:w="3750" w:type="dxa"/>
            <w:vMerge w:val="restart"/>
            <w:vAlign w:val="center"/>
          </w:tcPr>
          <w:p>
            <w:pPr>
              <w:spacing w:line="280" w:lineRule="exact"/>
              <w:rPr>
                <w:rFonts w:ascii="仿宋_GB2312" w:cs="黑体"/>
                <w:szCs w:val="18"/>
              </w:rPr>
            </w:pPr>
            <w:r>
              <w:rPr>
                <w:rFonts w:hint="eastAsia" w:ascii="仿宋_GB2312" w:cs="黑体"/>
                <w:szCs w:val="18"/>
              </w:rPr>
              <w:t>因污水处理承包公司管理问题造成污水处理、管理被媒体曝光</w:t>
            </w:r>
          </w:p>
        </w:tc>
        <w:tc>
          <w:tcPr>
            <w:tcW w:w="2425" w:type="dxa"/>
            <w:vAlign w:val="center"/>
          </w:tcPr>
          <w:p>
            <w:pPr>
              <w:spacing w:line="280" w:lineRule="exact"/>
              <w:rPr>
                <w:rFonts w:ascii="仿宋_GB2312" w:cs="黑体"/>
                <w:szCs w:val="18"/>
              </w:rPr>
            </w:pPr>
            <w:r>
              <w:rPr>
                <w:rFonts w:hint="eastAsia" w:ascii="仿宋_GB2312" w:cs="黑体"/>
                <w:szCs w:val="18"/>
              </w:rPr>
              <w:t>因污水处理承包公司管理问题造成污水处理管理质量低下，被有效投诉</w:t>
            </w:r>
            <w:r>
              <w:rPr>
                <w:rFonts w:ascii="仿宋_GB2312" w:cs="黑体"/>
                <w:szCs w:val="18"/>
              </w:rPr>
              <w:t>1</w:t>
            </w:r>
            <w:r>
              <w:rPr>
                <w:rFonts w:hint="eastAsia" w:ascii="仿宋_GB2312" w:cs="黑体"/>
                <w:szCs w:val="18"/>
              </w:rPr>
              <w:t>次</w:t>
            </w:r>
          </w:p>
        </w:tc>
        <w:tc>
          <w:tcPr>
            <w:tcW w:w="888" w:type="dxa"/>
            <w:vAlign w:val="center"/>
          </w:tcPr>
          <w:p>
            <w:pPr>
              <w:jc w:val="center"/>
              <w:rPr>
                <w:rFonts w:ascii="仿宋_GB2312"/>
                <w:szCs w:val="21"/>
              </w:rPr>
            </w:pPr>
            <w:r>
              <w:rPr>
                <w:rFonts w:hint="eastAsia" w:ascii="仿宋_GB2312"/>
                <w:szCs w:val="21"/>
              </w:rPr>
              <w:t>5</w:t>
            </w:r>
          </w:p>
        </w:tc>
        <w:tc>
          <w:tcPr>
            <w:tcW w:w="2034" w:type="dxa"/>
            <w:vAlign w:val="center"/>
          </w:tcPr>
          <w:p>
            <w:pPr>
              <w:spacing w:line="280" w:lineRule="exact"/>
              <w:rPr>
                <w:rFonts w:ascii="仿宋_GB2312" w:cs="黑体"/>
                <w:szCs w:val="18"/>
              </w:rPr>
            </w:pPr>
            <w:r>
              <w:rPr>
                <w:rFonts w:hint="eastAsia" w:ascii="仿宋_GB2312" w:cs="黑体"/>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vAlign w:val="center"/>
          </w:tcPr>
          <w:p>
            <w:pPr>
              <w:spacing w:line="280" w:lineRule="exact"/>
              <w:rPr>
                <w:rFonts w:ascii="仿宋_GB2312" w:cs="黑体"/>
                <w:szCs w:val="18"/>
              </w:rPr>
            </w:pPr>
          </w:p>
        </w:tc>
        <w:tc>
          <w:tcPr>
            <w:tcW w:w="3750" w:type="dxa"/>
            <w:vMerge w:val="continue"/>
            <w:vAlign w:val="center"/>
          </w:tcPr>
          <w:p>
            <w:pPr>
              <w:spacing w:line="280" w:lineRule="exact"/>
              <w:rPr>
                <w:rFonts w:ascii="仿宋_GB2312" w:cs="黑体"/>
                <w:szCs w:val="18"/>
              </w:rPr>
            </w:pPr>
          </w:p>
        </w:tc>
        <w:tc>
          <w:tcPr>
            <w:tcW w:w="2425" w:type="dxa"/>
            <w:vAlign w:val="center"/>
          </w:tcPr>
          <w:p>
            <w:pPr>
              <w:spacing w:line="280" w:lineRule="exact"/>
              <w:rPr>
                <w:rFonts w:ascii="仿宋_GB2312" w:cs="黑体"/>
                <w:szCs w:val="18"/>
              </w:rPr>
            </w:pPr>
            <w:r>
              <w:rPr>
                <w:rFonts w:hint="eastAsia" w:ascii="仿宋_GB2312" w:cs="黑体"/>
                <w:szCs w:val="18"/>
              </w:rPr>
              <w:t>因污水处理承包公司管理问题被相关部门口头批评或书面通报</w:t>
            </w:r>
            <w:r>
              <w:rPr>
                <w:rFonts w:ascii="仿宋_GB2312" w:cs="黑体"/>
                <w:szCs w:val="18"/>
              </w:rPr>
              <w:t>1</w:t>
            </w:r>
            <w:r>
              <w:rPr>
                <w:rFonts w:hint="eastAsia" w:ascii="仿宋_GB2312" w:cs="黑体"/>
                <w:szCs w:val="18"/>
              </w:rPr>
              <w:t>次</w:t>
            </w:r>
          </w:p>
        </w:tc>
        <w:tc>
          <w:tcPr>
            <w:tcW w:w="888" w:type="dxa"/>
            <w:vAlign w:val="center"/>
          </w:tcPr>
          <w:p>
            <w:pPr>
              <w:spacing w:line="280" w:lineRule="exact"/>
              <w:jc w:val="center"/>
              <w:rPr>
                <w:rFonts w:ascii="仿宋_GB2312" w:cs="黑体"/>
                <w:szCs w:val="18"/>
              </w:rPr>
            </w:pPr>
            <w:r>
              <w:rPr>
                <w:rFonts w:hint="eastAsia" w:ascii="仿宋_GB2312" w:cs="黑体"/>
                <w:szCs w:val="18"/>
              </w:rPr>
              <w:t>10-20</w:t>
            </w:r>
          </w:p>
        </w:tc>
        <w:tc>
          <w:tcPr>
            <w:tcW w:w="2034" w:type="dxa"/>
            <w:vAlign w:val="center"/>
          </w:tcPr>
          <w:p>
            <w:pPr>
              <w:spacing w:line="280" w:lineRule="exact"/>
              <w:rPr>
                <w:rFonts w:ascii="仿宋_GB2312" w:cs="黑体"/>
                <w:szCs w:val="18"/>
              </w:rPr>
            </w:pPr>
            <w:r>
              <w:rPr>
                <w:rFonts w:hint="eastAsia" w:ascii="仿宋_GB2312" w:cs="黑体"/>
                <w:szCs w:val="18"/>
              </w:rPr>
              <w:t>一年内发生2次及以上，甲方有权终止合同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vAlign w:val="center"/>
          </w:tcPr>
          <w:p>
            <w:pPr>
              <w:spacing w:line="280" w:lineRule="exact"/>
              <w:rPr>
                <w:rFonts w:ascii="仿宋_GB2312" w:cs="黑体"/>
                <w:szCs w:val="18"/>
              </w:rPr>
            </w:pPr>
          </w:p>
        </w:tc>
        <w:tc>
          <w:tcPr>
            <w:tcW w:w="3750" w:type="dxa"/>
            <w:vMerge w:val="continue"/>
            <w:vAlign w:val="center"/>
          </w:tcPr>
          <w:p>
            <w:pPr>
              <w:spacing w:line="280" w:lineRule="exact"/>
              <w:rPr>
                <w:rFonts w:ascii="仿宋_GB2312" w:cs="黑体"/>
                <w:szCs w:val="18"/>
              </w:rPr>
            </w:pPr>
          </w:p>
        </w:tc>
        <w:tc>
          <w:tcPr>
            <w:tcW w:w="2425" w:type="dxa"/>
            <w:vAlign w:val="center"/>
          </w:tcPr>
          <w:p>
            <w:pPr>
              <w:spacing w:line="280" w:lineRule="exact"/>
              <w:rPr>
                <w:rFonts w:ascii="仿宋_GB2312" w:cs="黑体"/>
                <w:szCs w:val="18"/>
              </w:rPr>
            </w:pPr>
            <w:r>
              <w:rPr>
                <w:rFonts w:hint="eastAsia" w:ascii="仿宋_GB2312" w:cs="黑体"/>
                <w:szCs w:val="18"/>
              </w:rPr>
              <w:t>因污水处理承包公司管理问题造成污水处理、管理被区县媒体曝光</w:t>
            </w:r>
            <w:r>
              <w:rPr>
                <w:rFonts w:ascii="仿宋_GB2312" w:cs="黑体"/>
                <w:szCs w:val="18"/>
              </w:rPr>
              <w:t>1</w:t>
            </w:r>
            <w:r>
              <w:rPr>
                <w:rFonts w:hint="eastAsia" w:ascii="仿宋_GB2312" w:cs="黑体"/>
                <w:szCs w:val="18"/>
              </w:rPr>
              <w:t>次</w:t>
            </w:r>
          </w:p>
        </w:tc>
        <w:tc>
          <w:tcPr>
            <w:tcW w:w="888" w:type="dxa"/>
            <w:vAlign w:val="center"/>
          </w:tcPr>
          <w:p>
            <w:pPr>
              <w:spacing w:line="280" w:lineRule="exact"/>
              <w:jc w:val="center"/>
              <w:rPr>
                <w:rFonts w:ascii="仿宋_GB2312" w:cs="黑体"/>
                <w:szCs w:val="18"/>
              </w:rPr>
            </w:pPr>
            <w:r>
              <w:rPr>
                <w:rFonts w:hint="eastAsia" w:ascii="仿宋_GB2312" w:cs="黑体"/>
                <w:szCs w:val="18"/>
              </w:rPr>
              <w:t>10-20</w:t>
            </w:r>
          </w:p>
        </w:tc>
        <w:tc>
          <w:tcPr>
            <w:tcW w:w="2034" w:type="dxa"/>
            <w:vAlign w:val="center"/>
          </w:tcPr>
          <w:p>
            <w:pPr>
              <w:spacing w:line="280" w:lineRule="exact"/>
              <w:rPr>
                <w:rFonts w:ascii="仿宋_GB2312" w:cs="黑体"/>
                <w:szCs w:val="18"/>
              </w:rPr>
            </w:pPr>
            <w:r>
              <w:rPr>
                <w:rFonts w:hint="eastAsia" w:ascii="仿宋_GB2312" w:cs="黑体"/>
                <w:szCs w:val="18"/>
              </w:rPr>
              <w:t>一年内发生2次及以上，甲方有权终止合同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vAlign w:val="center"/>
          </w:tcPr>
          <w:p>
            <w:pPr>
              <w:spacing w:line="280" w:lineRule="exact"/>
              <w:rPr>
                <w:rFonts w:ascii="仿宋_GB2312" w:cs="黑体"/>
                <w:szCs w:val="18"/>
              </w:rPr>
            </w:pPr>
          </w:p>
        </w:tc>
        <w:tc>
          <w:tcPr>
            <w:tcW w:w="3750" w:type="dxa"/>
            <w:vMerge w:val="continue"/>
            <w:vAlign w:val="center"/>
          </w:tcPr>
          <w:p>
            <w:pPr>
              <w:spacing w:line="280" w:lineRule="exact"/>
              <w:rPr>
                <w:rFonts w:ascii="仿宋_GB2312" w:cs="黑体"/>
                <w:szCs w:val="18"/>
              </w:rPr>
            </w:pPr>
          </w:p>
        </w:tc>
        <w:tc>
          <w:tcPr>
            <w:tcW w:w="2425" w:type="dxa"/>
            <w:vAlign w:val="center"/>
          </w:tcPr>
          <w:p>
            <w:pPr>
              <w:spacing w:line="280" w:lineRule="exact"/>
              <w:rPr>
                <w:rFonts w:ascii="仿宋_GB2312" w:cs="黑体"/>
                <w:szCs w:val="18"/>
              </w:rPr>
            </w:pPr>
            <w:r>
              <w:rPr>
                <w:rFonts w:hint="eastAsia" w:ascii="仿宋_GB2312" w:cs="黑体"/>
                <w:szCs w:val="18"/>
              </w:rPr>
              <w:t>因污水处理承包公司管理问题造成污水处理、管理被市级媒体曝光</w:t>
            </w:r>
            <w:r>
              <w:rPr>
                <w:rFonts w:ascii="仿宋_GB2312" w:cs="黑体"/>
                <w:szCs w:val="18"/>
              </w:rPr>
              <w:t>1</w:t>
            </w:r>
            <w:r>
              <w:rPr>
                <w:rFonts w:hint="eastAsia" w:ascii="仿宋_GB2312" w:cs="黑体"/>
                <w:szCs w:val="18"/>
              </w:rPr>
              <w:t>次</w:t>
            </w:r>
          </w:p>
        </w:tc>
        <w:tc>
          <w:tcPr>
            <w:tcW w:w="888" w:type="dxa"/>
            <w:vAlign w:val="center"/>
          </w:tcPr>
          <w:p>
            <w:pPr>
              <w:spacing w:line="280" w:lineRule="exact"/>
              <w:jc w:val="center"/>
              <w:rPr>
                <w:rFonts w:ascii="仿宋_GB2312" w:cs="黑体"/>
                <w:szCs w:val="18"/>
              </w:rPr>
            </w:pPr>
            <w:r>
              <w:rPr>
                <w:rFonts w:hint="eastAsia" w:ascii="仿宋_GB2312" w:cs="黑体"/>
                <w:szCs w:val="18"/>
              </w:rPr>
              <w:t>10-30</w:t>
            </w:r>
          </w:p>
        </w:tc>
        <w:tc>
          <w:tcPr>
            <w:tcW w:w="2034" w:type="dxa"/>
            <w:vAlign w:val="center"/>
          </w:tcPr>
          <w:p>
            <w:pPr>
              <w:spacing w:line="280" w:lineRule="exact"/>
              <w:rPr>
                <w:rFonts w:ascii="仿宋_GB2312" w:cs="黑体"/>
                <w:szCs w:val="18"/>
              </w:rPr>
            </w:pPr>
            <w:r>
              <w:rPr>
                <w:rFonts w:hint="eastAsia" w:ascii="仿宋_GB2312" w:cs="黑体"/>
                <w:szCs w:val="18"/>
              </w:rPr>
              <w:t>一年内发生1次及以上，甲方有权终止合同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Align w:val="center"/>
          </w:tcPr>
          <w:p>
            <w:pPr>
              <w:spacing w:line="280" w:lineRule="exact"/>
              <w:rPr>
                <w:rFonts w:ascii="仿宋_GB2312" w:cs="黑体"/>
                <w:szCs w:val="18"/>
              </w:rPr>
            </w:pPr>
            <w:r>
              <w:rPr>
                <w:rFonts w:hint="eastAsia" w:ascii="仿宋_GB2312" w:cs="黑体"/>
                <w:szCs w:val="18"/>
              </w:rPr>
              <w:t>节约水电</w:t>
            </w:r>
          </w:p>
        </w:tc>
        <w:tc>
          <w:tcPr>
            <w:tcW w:w="3750" w:type="dxa"/>
            <w:vAlign w:val="center"/>
          </w:tcPr>
          <w:p>
            <w:pPr>
              <w:spacing w:line="280" w:lineRule="exact"/>
              <w:rPr>
                <w:rFonts w:ascii="仿宋_GB2312" w:cs="黑体"/>
                <w:szCs w:val="18"/>
              </w:rPr>
            </w:pPr>
            <w:r>
              <w:rPr>
                <w:rFonts w:hint="eastAsia" w:ascii="仿宋_GB2312" w:cs="黑体"/>
                <w:szCs w:val="18"/>
              </w:rPr>
              <w:t>污水处理人员在使用水电的时候必须做到节约用水、用电，做到人走灯灭，不使用器具时关闭电源和用水。</w:t>
            </w:r>
          </w:p>
        </w:tc>
        <w:tc>
          <w:tcPr>
            <w:tcW w:w="2425" w:type="dxa"/>
            <w:vAlign w:val="center"/>
          </w:tcPr>
          <w:p>
            <w:pPr>
              <w:spacing w:line="280" w:lineRule="exact"/>
              <w:rPr>
                <w:rFonts w:ascii="仿宋_GB2312" w:cs="黑体"/>
                <w:szCs w:val="18"/>
              </w:rPr>
            </w:pPr>
            <w:r>
              <w:rPr>
                <w:rFonts w:hint="eastAsia" w:ascii="仿宋_GB2312" w:cs="黑体"/>
                <w:szCs w:val="18"/>
              </w:rPr>
              <w:t>发现浪费水或电</w:t>
            </w:r>
            <w:r>
              <w:rPr>
                <w:rFonts w:ascii="仿宋_GB2312" w:cs="黑体"/>
                <w:szCs w:val="18"/>
              </w:rPr>
              <w:t>1</w:t>
            </w:r>
            <w:r>
              <w:rPr>
                <w:rFonts w:hint="eastAsia" w:ascii="仿宋_GB2312" w:cs="黑体"/>
                <w:szCs w:val="18"/>
              </w:rPr>
              <w:t>次</w:t>
            </w:r>
          </w:p>
        </w:tc>
        <w:tc>
          <w:tcPr>
            <w:tcW w:w="888" w:type="dxa"/>
            <w:vAlign w:val="center"/>
          </w:tcPr>
          <w:p>
            <w:pPr>
              <w:spacing w:line="280" w:lineRule="exact"/>
              <w:jc w:val="center"/>
              <w:rPr>
                <w:rFonts w:ascii="仿宋_GB2312" w:cs="黑体"/>
                <w:szCs w:val="18"/>
              </w:rPr>
            </w:pPr>
            <w:r>
              <w:rPr>
                <w:rFonts w:hint="eastAsia" w:ascii="仿宋_GB2312" w:cs="黑体"/>
                <w:szCs w:val="18"/>
              </w:rPr>
              <w:t>2</w:t>
            </w:r>
          </w:p>
        </w:tc>
        <w:tc>
          <w:tcPr>
            <w:tcW w:w="2034" w:type="dxa"/>
            <w:vAlign w:val="center"/>
          </w:tcPr>
          <w:p>
            <w:pPr>
              <w:spacing w:line="280" w:lineRule="exact"/>
              <w:rPr>
                <w:rFonts w:ascii="仿宋_GB2312" w:cs="黑体"/>
                <w:szCs w:val="18"/>
              </w:rPr>
            </w:pPr>
            <w:r>
              <w:rPr>
                <w:rFonts w:hint="eastAsia" w:ascii="仿宋_GB2312" w:cs="黑体"/>
                <w:szCs w:val="18"/>
              </w:rPr>
              <w:t>如造成损失，乙方承担相应的赔偿责任　</w:t>
            </w:r>
          </w:p>
        </w:tc>
      </w:tr>
    </w:tbl>
    <w:p>
      <w:pPr>
        <w:ind w:firstLine="562"/>
      </w:pPr>
      <w:r>
        <w:rPr>
          <w:rFonts w:hint="eastAsia" w:ascii="黑体" w:hAnsi="黑体" w:eastAsia="黑体"/>
          <w:b/>
          <w:kern w:val="0"/>
          <w:sz w:val="28"/>
          <w:szCs w:val="28"/>
        </w:rPr>
        <w:t>2.考核分值</w:t>
      </w:r>
    </w:p>
    <w:p>
      <w:pPr>
        <w:ind w:firstLine="480"/>
      </w:pPr>
      <w:r>
        <w:rPr>
          <w:rFonts w:hint="eastAsia"/>
        </w:rPr>
        <w:t>执行合同情况的监督检查实行扣分制：每月考核标准扣分数合计在10分以内的为合格，考核标准扣分数合计在10—19分的扣项目承包单位2000元承包经费，20—29分的扣项目承包单位5000元承包经费，30分以上或累计3月扣分在20-29分的扣完当月全部污水处理承包费，并有权解除合同。</w:t>
      </w:r>
    </w:p>
    <w:p>
      <w:pPr>
        <w:ind w:firstLine="480"/>
      </w:pPr>
      <w:r>
        <w:rPr>
          <w:rFonts w:hint="eastAsia"/>
        </w:rPr>
        <w:t>（一）每月不定期对医院污水处理、污水在线监测运营外包项目进行检查，对有质量的地方以现场照片作依据通知服务商，并将检查情况汇总报分管领导，按检查结果</w:t>
      </w:r>
      <w:r>
        <w:rPr>
          <w:rFonts w:hint="eastAsia" w:cs="宋体"/>
          <w:kern w:val="0"/>
        </w:rPr>
        <w:t>扣除当月考核罚款数再拨付给服务商。</w:t>
      </w:r>
      <w:r>
        <w:rPr>
          <w:rFonts w:hint="eastAsia"/>
        </w:rPr>
        <w:t xml:space="preserve">                 </w:t>
      </w:r>
    </w:p>
    <w:p>
      <w:pPr>
        <w:ind w:firstLine="480"/>
      </w:pPr>
      <w:r>
        <w:rPr>
          <w:rFonts w:hint="eastAsia"/>
        </w:rPr>
        <w:t>（二）合同终止事由</w:t>
      </w:r>
    </w:p>
    <w:p>
      <w:pPr>
        <w:ind w:firstLine="480"/>
      </w:pPr>
      <w:r>
        <w:rPr>
          <w:rFonts w:hint="eastAsia"/>
        </w:rPr>
        <w:t>1、违反管理规定，造成重大伤亡或重大损失；</w:t>
      </w:r>
    </w:p>
    <w:p>
      <w:pPr>
        <w:ind w:firstLine="480"/>
      </w:pPr>
      <w:r>
        <w:rPr>
          <w:rFonts w:hint="eastAsia"/>
        </w:rPr>
        <w:t>2、因管理不善造成恶劣影响；</w:t>
      </w:r>
    </w:p>
    <w:p>
      <w:pPr>
        <w:ind w:firstLine="480"/>
      </w:pPr>
      <w:r>
        <w:rPr>
          <w:rFonts w:hint="eastAsia"/>
        </w:rPr>
        <w:t>3、擅自将合同转包、分包给第三者；</w:t>
      </w:r>
    </w:p>
    <w:p>
      <w:pPr>
        <w:ind w:firstLine="480"/>
      </w:pPr>
      <w:r>
        <w:rPr>
          <w:rFonts w:hint="eastAsia"/>
        </w:rPr>
        <w:t>4、违反劳动法或其他相关法规，造成恶劣影响；</w:t>
      </w:r>
    </w:p>
    <w:p>
      <w:pPr>
        <w:ind w:firstLine="480"/>
      </w:pPr>
      <w:r>
        <w:rPr>
          <w:rFonts w:hint="eastAsia"/>
        </w:rPr>
        <w:t>5、有弄虚作假及其不正当行为；</w:t>
      </w:r>
    </w:p>
    <w:p>
      <w:pPr>
        <w:ind w:firstLine="480"/>
      </w:pPr>
      <w:r>
        <w:rPr>
          <w:rFonts w:hint="eastAsia"/>
        </w:rPr>
        <w:t>6、在重大接待、突发事件处置工作中不力造成恶劣影响；</w:t>
      </w:r>
    </w:p>
    <w:p>
      <w:pPr>
        <w:spacing w:line="560" w:lineRule="exact"/>
        <w:rPr>
          <w:rFonts w:ascii="宋体" w:hAnsi="宋体" w:cs="宋体"/>
          <w:kern w:val="0"/>
          <w:sz w:val="28"/>
          <w:szCs w:val="28"/>
        </w:rPr>
      </w:pPr>
      <w:r>
        <w:rPr>
          <w:rFonts w:hint="eastAsia" w:ascii="宋体" w:hAnsi="宋体" w:cs="宋体"/>
          <w:kern w:val="0"/>
          <w:sz w:val="28"/>
          <w:szCs w:val="28"/>
        </w:rPr>
        <w:t>九、付款方式</w:t>
      </w:r>
    </w:p>
    <w:p>
      <w:pPr>
        <w:snapToGrid w:val="0"/>
        <w:spacing w:line="400" w:lineRule="exact"/>
        <w:ind w:firstLine="560" w:firstLineChars="200"/>
        <w:rPr>
          <w:rFonts w:ascii="方正仿宋_GBK" w:hAnsi="宋体" w:eastAsia="方正仿宋_GBK" w:cs="宋体"/>
          <w:color w:val="000000"/>
          <w:kern w:val="0"/>
          <w:sz w:val="24"/>
        </w:rPr>
      </w:pPr>
      <w:r>
        <w:rPr>
          <w:rFonts w:hint="eastAsia" w:ascii="方正仿宋_GBK" w:hAnsi="宋体" w:eastAsia="方正仿宋_GBK"/>
          <w:color w:val="000000" w:themeColor="text1"/>
          <w:sz w:val="28"/>
          <w:szCs w:val="28"/>
        </w:rPr>
        <w:t>工作满一月后，采购人按照合同约定对成交人工作进行考核，并按考核结果计算。成交人按考核确</w:t>
      </w:r>
      <w:r>
        <w:rPr>
          <w:rFonts w:hint="eastAsia" w:ascii="方正仿宋_GBK" w:hAnsi="宋体" w:eastAsia="方正仿宋_GBK"/>
          <w:color w:val="252525" w:themeColor="text1" w:themeTint="D9"/>
          <w:sz w:val="28"/>
          <w:szCs w:val="28"/>
        </w:rPr>
        <w:t>定的污水处理设施运营管理服务</w:t>
      </w:r>
      <w:r>
        <w:rPr>
          <w:rFonts w:hint="eastAsia" w:ascii="方正仿宋_GBK" w:hAnsi="宋体" w:eastAsia="方正仿宋_GBK"/>
          <w:color w:val="000000" w:themeColor="text1"/>
          <w:sz w:val="28"/>
          <w:szCs w:val="28"/>
        </w:rPr>
        <w:t>金额出具有效发票，采购人收到相关票据及依据后30个工作日内支付办理上月结算，并按照程序办理上月服务费用支付手续</w:t>
      </w:r>
      <w:r>
        <w:rPr>
          <w:rFonts w:hint="eastAsia" w:ascii="方正仿宋_GBK" w:hAnsi="宋体" w:eastAsia="方正仿宋_GBK" w:cs="宋体"/>
          <w:color w:val="000000"/>
          <w:kern w:val="0"/>
          <w:sz w:val="24"/>
        </w:rPr>
        <w:t>。</w:t>
      </w:r>
    </w:p>
    <w:p>
      <w:pPr>
        <w:spacing w:line="560" w:lineRule="exact"/>
        <w:ind w:firstLine="140" w:firstLineChars="50"/>
        <w:rPr>
          <w:rFonts w:ascii="宋体" w:hAnsi="宋体" w:cs="宋体"/>
          <w:kern w:val="0"/>
          <w:sz w:val="28"/>
          <w:szCs w:val="28"/>
        </w:rPr>
      </w:pPr>
      <w:r>
        <w:rPr>
          <w:rFonts w:hint="eastAsia" w:ascii="宋体" w:hAnsi="宋体" w:cs="宋体"/>
          <w:kern w:val="0"/>
          <w:sz w:val="28"/>
          <w:szCs w:val="28"/>
        </w:rPr>
        <w:t>十、甲方的权利和义务</w:t>
      </w:r>
    </w:p>
    <w:p>
      <w:pPr>
        <w:spacing w:line="560" w:lineRule="exact"/>
        <w:ind w:firstLine="140" w:firstLineChars="50"/>
        <w:rPr>
          <w:rFonts w:ascii="方正仿宋_GBK" w:hAnsi="宋体" w:eastAsia="方正仿宋_GBK"/>
          <w:color w:val="000000"/>
          <w:sz w:val="28"/>
          <w:szCs w:val="28"/>
        </w:rPr>
      </w:pPr>
      <w:r>
        <w:rPr>
          <w:rFonts w:hint="eastAsia" w:ascii="方正仿宋_GBK" w:hAnsi="宋体" w:eastAsia="方正仿宋_GBK"/>
          <w:color w:val="000000"/>
          <w:sz w:val="28"/>
          <w:szCs w:val="28"/>
        </w:rPr>
        <w:t>（1）对乙方的</w:t>
      </w:r>
      <w:r>
        <w:rPr>
          <w:rFonts w:hint="eastAsia" w:ascii="方正仿宋_GBK" w:hAnsi="宋体" w:eastAsia="方正仿宋_GBK"/>
          <w:color w:val="FF0000"/>
          <w:sz w:val="28"/>
          <w:szCs w:val="28"/>
        </w:rPr>
        <w:t>污水处理设施运营管理</w:t>
      </w:r>
      <w:r>
        <w:rPr>
          <w:rFonts w:hint="eastAsia" w:ascii="方正仿宋_GBK" w:hAnsi="宋体" w:eastAsia="方正仿宋_GBK"/>
          <w:color w:val="000000"/>
          <w:sz w:val="28"/>
          <w:szCs w:val="28"/>
        </w:rPr>
        <w:t>外包服务等工作随时进行监督、检查；并有权进行协调和奖惩处理。</w:t>
      </w:r>
    </w:p>
    <w:p>
      <w:pPr>
        <w:spacing w:line="560" w:lineRule="exact"/>
        <w:ind w:firstLine="140" w:firstLineChars="50"/>
        <w:rPr>
          <w:rFonts w:ascii="方正仿宋_GBK" w:hAnsi="宋体" w:eastAsia="方正仿宋_GBK"/>
          <w:color w:val="000000"/>
          <w:sz w:val="28"/>
          <w:szCs w:val="28"/>
        </w:rPr>
      </w:pPr>
      <w:r>
        <w:rPr>
          <w:rFonts w:hint="eastAsia" w:ascii="方正仿宋_GBK" w:hAnsi="宋体" w:eastAsia="方正仿宋_GBK"/>
          <w:color w:val="000000"/>
          <w:sz w:val="28"/>
          <w:szCs w:val="28"/>
        </w:rPr>
        <w:t>（2）向乙方提供相关工作信息、消毒防护指导，在工作沟通方面提供支持。</w:t>
      </w:r>
    </w:p>
    <w:p>
      <w:pPr>
        <w:spacing w:line="560" w:lineRule="exact"/>
        <w:ind w:firstLine="140" w:firstLineChars="50"/>
        <w:rPr>
          <w:rFonts w:ascii="方正仿宋_GBK" w:hAnsi="宋体" w:eastAsia="方正仿宋_GBK"/>
          <w:color w:val="000000"/>
          <w:sz w:val="28"/>
          <w:szCs w:val="28"/>
        </w:rPr>
      </w:pPr>
      <w:r>
        <w:rPr>
          <w:rFonts w:hint="eastAsia" w:ascii="方正仿宋_GBK" w:hAnsi="宋体" w:eastAsia="方正仿宋_GBK"/>
          <w:color w:val="000000"/>
          <w:sz w:val="28"/>
          <w:szCs w:val="28"/>
        </w:rPr>
        <w:t>（3）教育本单位人员遵守甲、乙双方签订的服务合同的相关工作内容，国家、行业、专项工作法律、法规、地方性规范。</w:t>
      </w:r>
    </w:p>
    <w:p>
      <w:pPr>
        <w:spacing w:line="560" w:lineRule="exact"/>
        <w:ind w:firstLine="140" w:firstLineChars="50"/>
        <w:rPr>
          <w:rFonts w:ascii="方正仿宋_GBK" w:hAnsi="宋体" w:eastAsia="方正仿宋_GBK"/>
          <w:color w:val="000000"/>
          <w:sz w:val="28"/>
          <w:szCs w:val="28"/>
        </w:rPr>
      </w:pPr>
      <w:r>
        <w:rPr>
          <w:rFonts w:hint="eastAsia" w:ascii="方正仿宋_GBK" w:hAnsi="宋体" w:eastAsia="方正仿宋_GBK"/>
          <w:color w:val="000000"/>
          <w:sz w:val="28"/>
          <w:szCs w:val="28"/>
        </w:rPr>
        <w:t>（4）甲方管理人员可随时监督检查乙方的管理工作、指导和协调乙方完成服务。</w:t>
      </w:r>
    </w:p>
    <w:p>
      <w:pPr>
        <w:spacing w:line="560" w:lineRule="exact"/>
        <w:ind w:firstLine="140" w:firstLineChars="50"/>
        <w:rPr>
          <w:rFonts w:ascii="方正仿宋_GBK" w:hAnsi="宋体" w:eastAsia="方正仿宋_GBK"/>
          <w:color w:val="000000"/>
          <w:sz w:val="28"/>
          <w:szCs w:val="28"/>
        </w:rPr>
      </w:pPr>
      <w:r>
        <w:rPr>
          <w:rFonts w:hint="eastAsia" w:ascii="方正仿宋_GBK" w:hAnsi="宋体" w:eastAsia="方正仿宋_GBK"/>
          <w:color w:val="000000"/>
          <w:sz w:val="28"/>
          <w:szCs w:val="28"/>
        </w:rPr>
        <w:t>（5）对乙方工作人员严重违反相关合同要求，不能胜任相关工作的，甲方有权要求乙方进行更换。</w:t>
      </w:r>
    </w:p>
    <w:p>
      <w:pPr>
        <w:spacing w:line="560" w:lineRule="exact"/>
        <w:ind w:firstLine="140" w:firstLineChars="50"/>
        <w:rPr>
          <w:rFonts w:ascii="方正仿宋_GBK" w:hAnsi="宋体" w:eastAsia="方正仿宋_GBK"/>
          <w:color w:val="252525" w:themeColor="text1" w:themeTint="D9"/>
          <w:sz w:val="28"/>
          <w:szCs w:val="28"/>
        </w:rPr>
      </w:pPr>
      <w:r>
        <w:rPr>
          <w:rFonts w:hint="eastAsia" w:ascii="方正仿宋_GBK" w:hAnsi="宋体" w:eastAsia="方正仿宋_GBK"/>
          <w:color w:val="000000"/>
          <w:sz w:val="28"/>
          <w:szCs w:val="28"/>
        </w:rPr>
        <w:t>（6）乙方按甲方要</w:t>
      </w:r>
      <w:r>
        <w:rPr>
          <w:rFonts w:hint="eastAsia" w:ascii="方正仿宋_GBK" w:hAnsi="宋体" w:eastAsia="方正仿宋_GBK"/>
          <w:color w:val="252525" w:themeColor="text1" w:themeTint="D9"/>
          <w:sz w:val="28"/>
          <w:szCs w:val="28"/>
        </w:rPr>
        <w:t>求完成污水处理设施运营管理服务工作，甲方按时拨付污水处理设施运营管理服务费用。</w:t>
      </w:r>
      <w:r>
        <w:rPr>
          <w:rFonts w:ascii="方正仿宋_GBK" w:hAnsi="宋体" w:eastAsia="方正仿宋_GBK"/>
          <w:color w:val="252525" w:themeColor="text1" w:themeTint="D9"/>
          <w:sz w:val="28"/>
          <w:szCs w:val="28"/>
        </w:rPr>
        <w:t> </w:t>
      </w:r>
    </w:p>
    <w:p>
      <w:pPr>
        <w:spacing w:line="560" w:lineRule="exact"/>
        <w:ind w:firstLine="280" w:firstLineChars="100"/>
        <w:rPr>
          <w:rFonts w:ascii="宋体" w:hAnsi="宋体" w:cs="宋体"/>
          <w:kern w:val="0"/>
          <w:sz w:val="28"/>
          <w:szCs w:val="28"/>
        </w:rPr>
      </w:pPr>
      <w:r>
        <w:rPr>
          <w:rFonts w:hint="eastAsia" w:ascii="宋体" w:hAnsi="宋体" w:cs="宋体"/>
          <w:kern w:val="0"/>
          <w:sz w:val="28"/>
          <w:szCs w:val="28"/>
        </w:rPr>
        <w:t>十一、乙方的权利和义务</w:t>
      </w:r>
    </w:p>
    <w:p>
      <w:pPr>
        <w:spacing w:line="560" w:lineRule="exact"/>
        <w:ind w:firstLine="140" w:firstLineChars="50"/>
        <w:rPr>
          <w:rFonts w:ascii="方正仿宋_GBK" w:hAnsi="宋体" w:eastAsia="方正仿宋_GBK"/>
          <w:color w:val="000000"/>
          <w:sz w:val="28"/>
          <w:szCs w:val="28"/>
        </w:rPr>
      </w:pPr>
      <w:r>
        <w:rPr>
          <w:rFonts w:hint="eastAsia" w:ascii="方正仿宋_GBK" w:hAnsi="宋体" w:eastAsia="方正仿宋_GBK"/>
          <w:color w:val="000000"/>
          <w:sz w:val="28"/>
          <w:szCs w:val="28"/>
        </w:rPr>
        <w:t>（1）严格遵守合同条款，遵守甲方相关的规章制度。</w:t>
      </w:r>
    </w:p>
    <w:p>
      <w:pPr>
        <w:spacing w:line="560" w:lineRule="exact"/>
        <w:ind w:firstLine="140" w:firstLineChars="50"/>
        <w:rPr>
          <w:rFonts w:ascii="方正仿宋_GBK" w:hAnsi="宋体" w:eastAsia="方正仿宋_GBK"/>
          <w:color w:val="000000"/>
          <w:sz w:val="28"/>
          <w:szCs w:val="28"/>
        </w:rPr>
      </w:pPr>
      <w:r>
        <w:rPr>
          <w:rFonts w:hint="eastAsia" w:ascii="方正仿宋_GBK" w:hAnsi="宋体" w:eastAsia="方正仿宋_GBK"/>
          <w:color w:val="000000"/>
          <w:sz w:val="28"/>
          <w:szCs w:val="28"/>
        </w:rPr>
        <w:t>（2）承担员工各种的劳动福利、劳动保险、医疗保险、劳动安全等政府颁布的相关法律、法规责任。</w:t>
      </w:r>
    </w:p>
    <w:p>
      <w:pPr>
        <w:spacing w:line="560" w:lineRule="exact"/>
        <w:rPr>
          <w:rFonts w:ascii="方正仿宋_GBK" w:hAnsi="宋体" w:eastAsia="方正仿宋_GBK"/>
          <w:color w:val="000000"/>
          <w:sz w:val="28"/>
          <w:szCs w:val="28"/>
        </w:rPr>
      </w:pPr>
      <w:r>
        <w:rPr>
          <w:rFonts w:hint="eastAsia" w:ascii="方正仿宋_GBK" w:hAnsi="宋体" w:eastAsia="方正仿宋_GBK"/>
          <w:color w:val="000000"/>
          <w:sz w:val="28"/>
          <w:szCs w:val="28"/>
        </w:rPr>
        <w:t>（3）乙方员工统一规范着装，衣帽整洁、文明礼貌、佩证上岗。</w:t>
      </w:r>
    </w:p>
    <w:p>
      <w:pPr>
        <w:spacing w:line="560" w:lineRule="exact"/>
        <w:rPr>
          <w:rFonts w:ascii="方正仿宋_GBK" w:hAnsi="宋体" w:eastAsia="方正仿宋_GBK"/>
          <w:color w:val="000000"/>
          <w:sz w:val="28"/>
          <w:szCs w:val="28"/>
        </w:rPr>
      </w:pPr>
      <w:r>
        <w:rPr>
          <w:rFonts w:hint="eastAsia" w:ascii="方正仿宋_GBK" w:hAnsi="宋体" w:eastAsia="方正仿宋_GBK"/>
          <w:color w:val="000000"/>
          <w:sz w:val="28"/>
          <w:szCs w:val="28"/>
        </w:rPr>
        <w:t>（4）教育规范员工文明服务，严格执行制定的有关管理制度。</w:t>
      </w:r>
    </w:p>
    <w:p>
      <w:pPr>
        <w:spacing w:line="560" w:lineRule="exact"/>
        <w:rPr>
          <w:rFonts w:ascii="方正仿宋_GBK" w:hAnsi="宋体" w:eastAsia="方正仿宋_GBK"/>
          <w:color w:val="000000"/>
          <w:sz w:val="28"/>
          <w:szCs w:val="28"/>
        </w:rPr>
      </w:pPr>
      <w:r>
        <w:rPr>
          <w:rFonts w:hint="eastAsia" w:ascii="方正仿宋_GBK" w:hAnsi="宋体" w:eastAsia="方正仿宋_GBK"/>
          <w:color w:val="000000"/>
          <w:sz w:val="28"/>
          <w:szCs w:val="28"/>
        </w:rPr>
        <w:t>（5）乙方每月向甲方管理部门进行客户意见反馈，及时采纳甲方的正确建议。各种工作记录表格、工作单据、月统计报表必须于次月</w:t>
      </w:r>
      <w:r>
        <w:rPr>
          <w:rFonts w:ascii="方正仿宋_GBK" w:hAnsi="宋体" w:eastAsia="方正仿宋_GBK"/>
          <w:color w:val="000000"/>
          <w:sz w:val="28"/>
          <w:szCs w:val="28"/>
        </w:rPr>
        <w:t>10</w:t>
      </w:r>
      <w:r>
        <w:rPr>
          <w:rFonts w:hint="eastAsia" w:ascii="方正仿宋_GBK" w:hAnsi="宋体" w:eastAsia="方正仿宋_GBK"/>
          <w:color w:val="000000"/>
          <w:sz w:val="28"/>
          <w:szCs w:val="28"/>
        </w:rPr>
        <w:t>日前送交甲方主管部门汇总。</w:t>
      </w:r>
    </w:p>
    <w:p>
      <w:pPr>
        <w:spacing w:line="560" w:lineRule="exact"/>
        <w:ind w:firstLine="140" w:firstLineChars="50"/>
        <w:rPr>
          <w:rFonts w:ascii="方正仿宋_GBK" w:hAnsi="宋体" w:eastAsia="方正仿宋_GBK"/>
          <w:color w:val="000000"/>
          <w:sz w:val="28"/>
          <w:szCs w:val="28"/>
        </w:rPr>
      </w:pPr>
      <w:r>
        <w:rPr>
          <w:rFonts w:hint="eastAsia" w:ascii="方正仿宋_GBK" w:hAnsi="宋体" w:eastAsia="方正仿宋_GBK"/>
          <w:color w:val="000000"/>
          <w:sz w:val="28"/>
          <w:szCs w:val="28"/>
        </w:rPr>
        <w:t>（6）乙方员工应接受甲方相关人员的业务指导和工作质量监督。</w:t>
      </w:r>
    </w:p>
    <w:p>
      <w:pPr>
        <w:spacing w:line="560" w:lineRule="exact"/>
        <w:ind w:firstLine="140" w:firstLineChars="50"/>
        <w:rPr>
          <w:rFonts w:ascii="方正仿宋_GBK" w:hAnsi="宋体" w:eastAsia="方正仿宋_GBK"/>
          <w:color w:val="000000"/>
          <w:sz w:val="28"/>
          <w:szCs w:val="28"/>
        </w:rPr>
      </w:pPr>
      <w:r>
        <w:rPr>
          <w:rFonts w:hint="eastAsia" w:ascii="方正仿宋_GBK" w:hAnsi="宋体" w:eastAsia="方正仿宋_GBK"/>
          <w:color w:val="000000"/>
          <w:sz w:val="28"/>
          <w:szCs w:val="28"/>
        </w:rPr>
        <w:t>（7）乙方工作人员在院内拾到遗失物品应立即上交甲方管理部门。</w:t>
      </w:r>
    </w:p>
    <w:p>
      <w:pPr>
        <w:spacing w:line="560" w:lineRule="exact"/>
        <w:ind w:firstLine="140" w:firstLineChars="50"/>
        <w:rPr>
          <w:rFonts w:ascii="方正仿宋_GBK" w:hAnsi="宋体" w:eastAsia="方正仿宋_GBK"/>
          <w:color w:val="000000"/>
          <w:sz w:val="28"/>
          <w:szCs w:val="28"/>
        </w:rPr>
      </w:pPr>
      <w:r>
        <w:rPr>
          <w:rFonts w:hint="eastAsia" w:ascii="方正仿宋_GBK" w:hAnsi="宋体" w:eastAsia="方正仿宋_GBK"/>
          <w:color w:val="000000"/>
          <w:sz w:val="28"/>
          <w:szCs w:val="28"/>
        </w:rPr>
        <w:t>（8）乙方应积极配合甲方遇公共卫生事件、应急事件和重大检查等各项工作，保证甲方的各项工作的开展。</w:t>
      </w:r>
    </w:p>
    <w:p>
      <w:pPr>
        <w:spacing w:line="560" w:lineRule="exact"/>
        <w:ind w:firstLine="140" w:firstLineChars="50"/>
        <w:rPr>
          <w:rFonts w:ascii="方正仿宋_GBK" w:hAnsi="宋体" w:eastAsia="方正仿宋_GBK"/>
          <w:color w:val="000000"/>
          <w:sz w:val="28"/>
          <w:szCs w:val="28"/>
        </w:rPr>
      </w:pPr>
      <w:r>
        <w:rPr>
          <w:rFonts w:hint="eastAsia" w:ascii="方正仿宋_GBK" w:hAnsi="宋体" w:eastAsia="方正仿宋_GBK"/>
          <w:color w:val="000000"/>
          <w:sz w:val="28"/>
          <w:szCs w:val="28"/>
        </w:rPr>
        <w:t>（9）乙方必须随时提供特殊工种所需要人员上岗证备查，若因乙方无法及时提供相关证件所导致的处罚由乙方全额承担。</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十二、违约责任</w:t>
      </w:r>
    </w:p>
    <w:p>
      <w:pPr>
        <w:ind w:firstLine="480"/>
        <w:rPr>
          <w:rFonts w:ascii="仿宋_GB2312" w:hAnsi="仿宋_GB2312" w:cs="仿宋_GB2312"/>
          <w:color w:val="252525" w:themeColor="text1" w:themeTint="D9"/>
          <w:szCs w:val="22"/>
        </w:rPr>
      </w:pPr>
      <w:r>
        <w:rPr>
          <w:rFonts w:hint="eastAsia" w:ascii="仿宋_GB2312" w:hAnsi="仿宋_GB2312" w:cs="仿宋_GB2312"/>
          <w:color w:val="252525" w:themeColor="text1" w:themeTint="D9"/>
          <w:szCs w:val="22"/>
        </w:rPr>
        <w:t>1.运营托管期内，未按国家相关规定提供运营托管工作或未认真填写相关记录，发现一次处扣100元，半年内发现第二次加倍，以此类推。</w:t>
      </w:r>
    </w:p>
    <w:p>
      <w:pPr>
        <w:ind w:firstLine="480"/>
        <w:rPr>
          <w:rFonts w:ascii="仿宋_GB2312" w:hAnsi="仿宋_GB2312" w:cs="仿宋_GB2312"/>
          <w:color w:val="252525" w:themeColor="text1" w:themeTint="D9"/>
          <w:szCs w:val="22"/>
        </w:rPr>
      </w:pPr>
      <w:r>
        <w:rPr>
          <w:rFonts w:hint="eastAsia" w:ascii="仿宋_GB2312" w:hAnsi="仿宋_GB2312" w:cs="仿宋_GB2312"/>
          <w:color w:val="252525" w:themeColor="text1" w:themeTint="D9"/>
          <w:szCs w:val="22"/>
        </w:rPr>
        <w:t>2.运营托管期内，工作人员电话无故停机、关机，发现一次扣100元，半年内发现第二次加倍，以此类推。</w:t>
      </w:r>
    </w:p>
    <w:p>
      <w:pPr>
        <w:ind w:firstLine="480"/>
        <w:rPr>
          <w:rFonts w:ascii="仿宋_GB2312" w:hAnsi="仿宋_GB2312" w:cs="仿宋_GB2312"/>
          <w:color w:val="252525" w:themeColor="text1" w:themeTint="D9"/>
          <w:szCs w:val="22"/>
        </w:rPr>
      </w:pPr>
      <w:r>
        <w:rPr>
          <w:rFonts w:hint="eastAsia" w:ascii="仿宋_GB2312" w:hAnsi="仿宋_GB2312" w:cs="仿宋_GB2312"/>
          <w:color w:val="252525" w:themeColor="text1" w:themeTint="D9"/>
          <w:szCs w:val="22"/>
        </w:rPr>
        <w:t>3.运营托管期内，发生设备故障或停运，服务商未及时汇报，或服务商项目负责人未在15分钟内到达现场并处理故障，发现一次处扣200元，半年内发现第二次加倍，以此类推。</w:t>
      </w:r>
    </w:p>
    <w:p>
      <w:pPr>
        <w:ind w:firstLine="480"/>
        <w:rPr>
          <w:rFonts w:ascii="仿宋_GB2312" w:hAnsi="仿宋_GB2312" w:cs="仿宋_GB2312"/>
          <w:color w:val="252525" w:themeColor="text1" w:themeTint="D9"/>
          <w:szCs w:val="22"/>
        </w:rPr>
      </w:pPr>
      <w:r>
        <w:rPr>
          <w:rFonts w:hint="eastAsia" w:ascii="仿宋_GB2312" w:hAnsi="仿宋_GB2312" w:cs="仿宋_GB2312"/>
          <w:color w:val="252525" w:themeColor="text1" w:themeTint="D9"/>
          <w:szCs w:val="22"/>
        </w:rPr>
        <w:t>4.运营托管期内，若发现更换的零配件以次充好，假冒伪劣，发现一次扣500元，且不予支付零配件费用，已支付的从应付维保款项中扣除。</w:t>
      </w:r>
    </w:p>
    <w:p>
      <w:pPr>
        <w:ind w:firstLine="480"/>
        <w:rPr>
          <w:rFonts w:ascii="仿宋_GB2312" w:hAnsi="仿宋_GB2312" w:cs="仿宋_GB2312"/>
          <w:color w:val="252525" w:themeColor="text1" w:themeTint="D9"/>
          <w:szCs w:val="22"/>
        </w:rPr>
      </w:pPr>
      <w:r>
        <w:rPr>
          <w:rFonts w:hint="eastAsia" w:ascii="仿宋_GB2312" w:hAnsi="仿宋_GB2312" w:cs="仿宋_GB2312"/>
          <w:color w:val="252525" w:themeColor="text1" w:themeTint="D9"/>
          <w:szCs w:val="22"/>
        </w:rPr>
        <w:t>5.运营托管期内，发现未定期对现场工作人员进行培训，发现一次扣100元，半年度发现第二次加倍，以此类推。</w:t>
      </w:r>
    </w:p>
    <w:p>
      <w:pPr>
        <w:ind w:firstLine="480"/>
        <w:rPr>
          <w:rFonts w:ascii="仿宋_GB2312" w:hAnsi="仿宋_GB2312" w:cs="仿宋_GB2312"/>
          <w:color w:val="252525" w:themeColor="text1" w:themeTint="D9"/>
          <w:szCs w:val="22"/>
        </w:rPr>
      </w:pPr>
      <w:r>
        <w:rPr>
          <w:rFonts w:hint="eastAsia" w:ascii="仿宋_GB2312" w:hAnsi="仿宋_GB2312" w:cs="仿宋_GB2312"/>
          <w:color w:val="252525" w:themeColor="text1" w:themeTint="D9"/>
          <w:szCs w:val="22"/>
        </w:rPr>
        <w:t>6.运营托管期内，发现站内设备一周以内同一故障发生2次，扣200元。</w:t>
      </w:r>
    </w:p>
    <w:p>
      <w:pPr>
        <w:ind w:firstLine="480"/>
        <w:rPr>
          <w:rFonts w:ascii="仿宋_GB2312" w:hAnsi="仿宋_GB2312" w:cs="仿宋_GB2312"/>
          <w:color w:val="252525" w:themeColor="text1" w:themeTint="D9"/>
          <w:szCs w:val="22"/>
        </w:rPr>
      </w:pPr>
      <w:r>
        <w:rPr>
          <w:rFonts w:hint="eastAsia" w:ascii="仿宋_GB2312" w:hAnsi="仿宋_GB2312" w:cs="仿宋_GB2312"/>
          <w:color w:val="252525" w:themeColor="text1" w:themeTint="D9"/>
          <w:szCs w:val="22"/>
        </w:rPr>
        <w:t>7.发现未定期更换活性炭，经采购人提醒3次仍不执行的，采购人有权自行购买，购买费用从应支付的维保费中扣除，并罚款5000元。</w:t>
      </w:r>
    </w:p>
    <w:p>
      <w:pPr>
        <w:ind w:firstLine="480"/>
        <w:rPr>
          <w:rFonts w:ascii="仿宋_GB2312" w:hAnsi="仿宋_GB2312" w:cs="仿宋_GB2312"/>
          <w:color w:val="252525" w:themeColor="text1" w:themeTint="D9"/>
        </w:rPr>
      </w:pPr>
      <w:r>
        <w:rPr>
          <w:rFonts w:hint="eastAsia" w:ascii="仿宋_GB2312" w:hAnsi="仿宋_GB2312" w:cs="仿宋_GB2312"/>
          <w:color w:val="252525" w:themeColor="text1" w:themeTint="D9"/>
          <w:szCs w:val="22"/>
        </w:rPr>
        <w:t>8.</w:t>
      </w:r>
      <w:r>
        <w:rPr>
          <w:rFonts w:hint="eastAsia" w:ascii="仿宋_GB2312" w:hAnsi="仿宋_GB2312" w:cs="仿宋_GB2312"/>
          <w:color w:val="252525" w:themeColor="text1" w:themeTint="D9"/>
        </w:rPr>
        <w:t>在污水处理站运营托管期间，服务商必须按合同要求，对污水处理站进行8小时值守，采购人有权对此进行不定时检查。如果检查中发现值班人员无故脱岗，每次罚款100元，员工累计脱岗次数超过3次，采购人有权要求服务商对污水站脱岗值班人员进行更换；污水处理站岗位脱岗累计超过5次的，采购人有权终止合同，如因脱岗产生不良后果的，服务商还应承担所有责任。</w:t>
      </w:r>
    </w:p>
    <w:p>
      <w:pPr>
        <w:ind w:firstLine="480"/>
        <w:rPr>
          <w:rFonts w:ascii="仿宋_GB2312" w:hAnsi="仿宋_GB2312" w:cs="仿宋_GB2312"/>
          <w:color w:val="252525" w:themeColor="text1" w:themeTint="D9"/>
        </w:rPr>
      </w:pPr>
      <w:r>
        <w:rPr>
          <w:rFonts w:hint="eastAsia" w:ascii="仿宋_GB2312" w:hAnsi="仿宋_GB2312" w:cs="仿宋_GB2312"/>
          <w:color w:val="252525" w:themeColor="text1" w:themeTint="D9"/>
        </w:rPr>
        <w:t>9.经采购人检查发现，服务商未按照规定记录污水处理站运行情况的、检测相关的监测指标，服务商应按100元/次支付违约金，如服务商未按规定进行维护保养的，服务商应按200元/次支付违约金，如因服务商维修保养不及时导致不良后果的，除支付违约金外，服务商还应承担全部责任。</w:t>
      </w:r>
    </w:p>
    <w:p>
      <w:pPr>
        <w:ind w:firstLine="480"/>
        <w:rPr>
          <w:rFonts w:ascii="仿宋_GB2312" w:hAnsi="仿宋_GB2312" w:cs="仿宋_GB2312"/>
          <w:color w:val="252525" w:themeColor="text1" w:themeTint="D9"/>
        </w:rPr>
      </w:pPr>
      <w:r>
        <w:rPr>
          <w:rFonts w:hint="eastAsia" w:ascii="仿宋_GB2312" w:hAnsi="仿宋_GB2312" w:cs="仿宋_GB2312"/>
          <w:color w:val="252525" w:themeColor="text1" w:themeTint="D9"/>
        </w:rPr>
        <w:t>10.经采购人检查发现，服务商未按照规定足量使用药剂，服务商应按1000元/次支付违约金，如因服务商药剂使用不足造成不良后果的，除支付违约金外，服务商还应承担全部责任。</w:t>
      </w:r>
    </w:p>
    <w:p>
      <w:pPr>
        <w:ind w:firstLine="480"/>
        <w:rPr>
          <w:rFonts w:ascii="仿宋_GB2312" w:hAnsi="仿宋_GB2312" w:cs="仿宋_GB2312"/>
          <w:color w:val="252525" w:themeColor="text1" w:themeTint="D9"/>
        </w:rPr>
      </w:pPr>
      <w:r>
        <w:rPr>
          <w:rFonts w:hint="eastAsia" w:ascii="仿宋_GB2312" w:hAnsi="仿宋_GB2312" w:cs="仿宋_GB2312"/>
          <w:color w:val="252525" w:themeColor="text1" w:themeTint="D9"/>
        </w:rPr>
        <w:t>11.服务商运营期间，保证采购人的设备设施完好无损，正常运行，严格按照处理工艺执行，保证污水处理达标，污水处理站设备发生故障后，服务商未能在双方约定时间内对设备进行修复时，服务商按每日500元支付违约金。如果因服务商原因未对污水处理站故障设备进行修复，经环保单位检查发现相应问题或造成不良后果的，必须在环保部门或采购人规定的时间内彻底整改，相关责任及由此造成的损失由服务商承担。</w:t>
      </w:r>
    </w:p>
    <w:p>
      <w:pPr>
        <w:ind w:firstLine="480"/>
        <w:rPr>
          <w:rFonts w:ascii="仿宋_GB2312" w:hAnsi="仿宋_GB2312" w:cs="仿宋_GB2312"/>
        </w:rPr>
      </w:pPr>
      <w:r>
        <w:rPr>
          <w:rFonts w:hint="eastAsia" w:ascii="仿宋_GB2312" w:hAnsi="仿宋_GB2312" w:cs="仿宋_GB2312"/>
          <w:color w:val="FF0000"/>
        </w:rPr>
        <w:t>12.</w:t>
      </w:r>
      <w:r>
        <w:rPr>
          <w:rFonts w:hint="eastAsia" w:ascii="仿宋_GB2312" w:hAnsi="仿宋_GB2312" w:cs="仿宋_GB2312"/>
        </w:rPr>
        <w:t xml:space="preserve"> 服务商按照采购人要求对废水进行检测，如漏测一次，服务商按每次100元支付违约金；如相关数据检测不合格，则服务商应进行整改只至检测合格为止。</w:t>
      </w:r>
    </w:p>
    <w:p>
      <w:pPr>
        <w:ind w:firstLine="480"/>
        <w:rPr>
          <w:rFonts w:ascii="仿宋_GB2312" w:hAnsi="仿宋_GB2312" w:cs="仿宋_GB2312"/>
          <w:color w:val="252525" w:themeColor="text1" w:themeTint="D9"/>
        </w:rPr>
      </w:pPr>
      <w:r>
        <w:rPr>
          <w:rFonts w:hint="eastAsia" w:ascii="仿宋_GB2312" w:hAnsi="仿宋_GB2312" w:cs="仿宋_GB2312"/>
          <w:color w:val="252525" w:themeColor="text1" w:themeTint="D9"/>
        </w:rPr>
        <w:t>13.</w:t>
      </w:r>
      <w:r>
        <w:rPr>
          <w:rFonts w:hint="eastAsia" w:ascii="仿宋_GB2312" w:hAnsi="仿宋_GB2312" w:cs="仿宋_GB2312"/>
          <w:color w:val="252525" w:themeColor="text1" w:themeTint="D9"/>
          <w:szCs w:val="22"/>
        </w:rPr>
        <w:t>未按要求及时配合招标人办理排污许可证，延期一天，扣50元，以此类推。</w:t>
      </w:r>
    </w:p>
    <w:p>
      <w:pPr>
        <w:ind w:firstLine="480"/>
        <w:rPr>
          <w:rFonts w:ascii="仿宋_GB2312" w:hAnsi="仿宋_GB2312" w:cs="仿宋_GB2312"/>
          <w:color w:val="252525" w:themeColor="text1" w:themeTint="D9"/>
        </w:rPr>
      </w:pPr>
      <w:r>
        <w:rPr>
          <w:rFonts w:hint="eastAsia" w:ascii="仿宋_GB2312" w:hAnsi="仿宋_GB2312" w:cs="仿宋_GB2312"/>
          <w:color w:val="252525" w:themeColor="text1" w:themeTint="D9"/>
          <w:szCs w:val="30"/>
        </w:rPr>
        <w:t>★</w:t>
      </w:r>
      <w:r>
        <w:rPr>
          <w:rFonts w:hint="eastAsia" w:ascii="仿宋_GB2312" w:hAnsi="仿宋_GB2312" w:cs="仿宋_GB2312"/>
          <w:color w:val="252525" w:themeColor="text1" w:themeTint="D9"/>
        </w:rPr>
        <w:t>14.除不可抗力外，如果服务商导致污水处理不达标而受环保部门通报、处罚，服务商除承担所有环保处罚、罚款及给采购人造成经济损失补偿，每年累计超过两次（含两次），采购人有权解除合同。如果服务商直接排放污水受环保部门通报、处罚，并造成外部水体严重污染引起一系列重大环境事件，服务商需承担所有环保处罚、罚款及给采购人造成经济损失补偿，且采购人有权解除合同。</w:t>
      </w:r>
    </w:p>
    <w:p>
      <w:pPr>
        <w:pStyle w:val="268"/>
        <w:spacing w:line="320" w:lineRule="exact"/>
        <w:ind w:firstLine="420" w:firstLineChars="200"/>
        <w:rPr>
          <w:rFonts w:ascii="仿宋_GB2312" w:hAnsi="仿宋_GB2312" w:cs="仿宋_GB2312"/>
          <w:color w:val="252525" w:themeColor="text1" w:themeTint="D9"/>
          <w:kern w:val="2"/>
          <w:sz w:val="21"/>
        </w:rPr>
      </w:pPr>
      <w:r>
        <w:rPr>
          <w:rFonts w:hint="eastAsia" w:ascii="仿宋_GB2312" w:hAnsi="仿宋_GB2312" w:cs="仿宋_GB2312"/>
          <w:color w:val="252525" w:themeColor="text1" w:themeTint="D9"/>
          <w:kern w:val="2"/>
          <w:sz w:val="21"/>
        </w:rPr>
        <w:t>15.因服务商的行为给采购人造成损害的，对于采购人因此而产生的全部损失（包括但不限于直接损失、间接损失以及因维权而支出的全部费用），如果服务商支付的违约金尚未足以赔付的，服务商还应当向采购人支付差额部分的款项作为对采购人的赔偿金。</w:t>
      </w:r>
    </w:p>
    <w:p>
      <w:pPr>
        <w:pStyle w:val="268"/>
        <w:spacing w:line="320" w:lineRule="exact"/>
        <w:ind w:firstLine="420" w:firstLineChars="200"/>
        <w:rPr>
          <w:rFonts w:ascii="仿宋_GB2312" w:hAnsi="仿宋_GB2312" w:cs="仿宋_GB2312"/>
          <w:color w:val="252525" w:themeColor="text1" w:themeTint="D9"/>
          <w:kern w:val="2"/>
          <w:sz w:val="21"/>
        </w:rPr>
      </w:pPr>
      <w:r>
        <w:rPr>
          <w:rFonts w:hint="eastAsia" w:ascii="仿宋_GB2312" w:hAnsi="仿宋_GB2312" w:cs="仿宋_GB2312"/>
          <w:color w:val="252525" w:themeColor="text1" w:themeTint="D9"/>
          <w:kern w:val="2"/>
          <w:sz w:val="21"/>
        </w:rPr>
        <w:t>16、对于服务商应当支付的违约金、赔偿金等，采购人有权从未支付的款项中预先扣除。</w:t>
      </w:r>
    </w:p>
    <w:p>
      <w:pPr>
        <w:pStyle w:val="268"/>
        <w:spacing w:line="320" w:lineRule="exact"/>
        <w:ind w:firstLine="420" w:firstLineChars="200"/>
        <w:rPr>
          <w:rFonts w:ascii="仿宋_GB2312" w:hAnsi="仿宋_GB2312" w:cs="仿宋_GB2312"/>
          <w:color w:val="252525" w:themeColor="text1" w:themeTint="D9"/>
          <w:kern w:val="2"/>
          <w:sz w:val="21"/>
        </w:rPr>
      </w:pPr>
      <w:r>
        <w:rPr>
          <w:rFonts w:hint="eastAsia" w:ascii="仿宋_GB2312" w:hAnsi="仿宋_GB2312" w:cs="仿宋_GB2312"/>
          <w:color w:val="252525" w:themeColor="text1" w:themeTint="D9"/>
          <w:kern w:val="2"/>
          <w:sz w:val="21"/>
        </w:rPr>
        <w:t>17、无论服务商是否支付赔偿金或违约金，均不因此导致服务商有权终止或解除合同，采购人仍有权继续要求服务商全面、按期履行合同义务。</w:t>
      </w:r>
    </w:p>
    <w:p>
      <w:pPr>
        <w:ind w:firstLine="480"/>
        <w:rPr>
          <w:rFonts w:ascii="仿宋_GB2312" w:hAnsi="仿宋_GB2312" w:cs="仿宋_GB2312"/>
          <w:color w:val="252525" w:themeColor="text1" w:themeTint="D9"/>
          <w:szCs w:val="22"/>
        </w:rPr>
      </w:pPr>
      <w:r>
        <w:rPr>
          <w:rFonts w:hint="eastAsia" w:ascii="仿宋_GB2312" w:hAnsi="仿宋_GB2312" w:cs="仿宋_GB2312"/>
          <w:color w:val="252525" w:themeColor="text1" w:themeTint="D9"/>
          <w:szCs w:val="30"/>
        </w:rPr>
        <w:t>★</w:t>
      </w:r>
      <w:r>
        <w:rPr>
          <w:rFonts w:hint="eastAsia" w:ascii="仿宋_GB2312" w:hAnsi="仿宋_GB2312" w:cs="仿宋_GB2312"/>
          <w:color w:val="252525" w:themeColor="text1" w:themeTint="D9"/>
        </w:rPr>
        <w:t>18.如遇以下情况，采购人有权单方面终止合同，同时不向服务商支付运营费用，已经支付的运营</w:t>
      </w:r>
      <w:r>
        <w:rPr>
          <w:rFonts w:hint="eastAsia" w:ascii="仿宋_GB2312" w:hAnsi="仿宋_GB2312" w:cs="仿宋_GB2312"/>
          <w:color w:val="252525" w:themeColor="text1" w:themeTint="D9"/>
          <w:szCs w:val="22"/>
        </w:rPr>
        <w:t>费用，并赔偿甲方及第三方损失：</w:t>
      </w:r>
    </w:p>
    <w:p>
      <w:pPr>
        <w:ind w:firstLine="480"/>
        <w:rPr>
          <w:rFonts w:ascii="仿宋_GB2312" w:hAnsi="仿宋_GB2312" w:cs="仿宋_GB2312"/>
          <w:color w:val="252525" w:themeColor="text1" w:themeTint="D9"/>
          <w:szCs w:val="22"/>
        </w:rPr>
      </w:pPr>
      <w:r>
        <w:rPr>
          <w:rFonts w:hint="eastAsia" w:ascii="仿宋_GB2312" w:hAnsi="仿宋_GB2312" w:cs="仿宋_GB2312"/>
          <w:color w:val="252525" w:themeColor="text1" w:themeTint="D9"/>
          <w:szCs w:val="22"/>
        </w:rPr>
        <w:t>(1)服务商三次以上未按照合同的约定履行其义务；</w:t>
      </w:r>
    </w:p>
    <w:p>
      <w:pPr>
        <w:ind w:firstLine="480"/>
        <w:rPr>
          <w:rFonts w:ascii="仿宋_GB2312" w:hAnsi="仿宋_GB2312" w:cs="仿宋_GB2312"/>
          <w:color w:val="252525" w:themeColor="text1" w:themeTint="D9"/>
          <w:szCs w:val="22"/>
        </w:rPr>
      </w:pPr>
      <w:r>
        <w:rPr>
          <w:rFonts w:hint="eastAsia" w:ascii="仿宋_GB2312" w:hAnsi="仿宋_GB2312" w:cs="仿宋_GB2312"/>
          <w:color w:val="252525" w:themeColor="text1" w:themeTint="D9"/>
          <w:szCs w:val="22"/>
        </w:rPr>
        <w:t>(2)经采购人通知后，服务商不进行运营管理或整改的；</w:t>
      </w:r>
    </w:p>
    <w:p>
      <w:pPr>
        <w:ind w:firstLine="480"/>
        <w:rPr>
          <w:rFonts w:ascii="仿宋_GB2312" w:hAnsi="仿宋_GB2312" w:cs="仿宋_GB2312"/>
          <w:color w:val="252525" w:themeColor="text1" w:themeTint="D9"/>
          <w:szCs w:val="22"/>
        </w:rPr>
      </w:pPr>
      <w:r>
        <w:rPr>
          <w:rFonts w:hint="eastAsia" w:ascii="仿宋_GB2312" w:hAnsi="仿宋_GB2312" w:cs="仿宋_GB2312"/>
          <w:color w:val="252525" w:themeColor="text1" w:themeTint="D9"/>
          <w:szCs w:val="22"/>
        </w:rPr>
        <w:t>(3)采购人认为在合同期内服务商明显不能继续胜任其工作；</w:t>
      </w:r>
    </w:p>
    <w:p>
      <w:pPr>
        <w:ind w:firstLine="480"/>
        <w:rPr>
          <w:rFonts w:ascii="仿宋_GB2312" w:hAnsi="仿宋_GB2312" w:cs="仿宋_GB2312"/>
          <w:color w:val="252525" w:themeColor="text1" w:themeTint="D9"/>
          <w:szCs w:val="22"/>
        </w:rPr>
      </w:pPr>
      <w:r>
        <w:rPr>
          <w:rFonts w:hint="eastAsia" w:ascii="仿宋_GB2312" w:hAnsi="仿宋_GB2312" w:cs="仿宋_GB2312"/>
          <w:color w:val="252525" w:themeColor="text1" w:themeTint="D9"/>
          <w:szCs w:val="22"/>
        </w:rPr>
        <w:t>(4)因服务商或服务商员工的原因给采购人或第三方造成重大损失的；</w:t>
      </w:r>
    </w:p>
    <w:p>
      <w:pPr>
        <w:ind w:firstLine="480"/>
        <w:rPr>
          <w:rFonts w:ascii="仿宋_GB2312" w:hAnsi="仿宋_GB2312" w:cs="仿宋_GB2312"/>
          <w:color w:val="252525" w:themeColor="text1" w:themeTint="D9"/>
          <w:szCs w:val="22"/>
        </w:rPr>
      </w:pPr>
      <w:r>
        <w:rPr>
          <w:rFonts w:hint="eastAsia" w:ascii="仿宋_GB2312" w:hAnsi="仿宋_GB2312" w:cs="仿宋_GB2312"/>
          <w:color w:val="252525" w:themeColor="text1" w:themeTint="D9"/>
          <w:szCs w:val="22"/>
        </w:rPr>
        <w:t>(5)未经采购人同意，服务商擅自更换常驻维保人员。</w:t>
      </w:r>
    </w:p>
    <w:p>
      <w:pPr>
        <w:ind w:firstLine="480"/>
        <w:rPr>
          <w:rFonts w:ascii="仿宋_GB2312" w:hAnsi="仿宋_GB2312" w:cs="仿宋_GB2312"/>
          <w:color w:val="252525" w:themeColor="text1" w:themeTint="D9"/>
        </w:rPr>
      </w:pPr>
      <w:r>
        <w:rPr>
          <w:rFonts w:hint="eastAsia" w:ascii="仿宋_GB2312" w:hAnsi="仿宋_GB2312" w:cs="仿宋_GB2312"/>
          <w:color w:val="252525" w:themeColor="text1" w:themeTint="D9"/>
          <w:szCs w:val="22"/>
        </w:rPr>
        <w:t>19.采购人无正当理由未按照约定向服务商支付费用的，每延误一日应当向乙方服务商支付延误部分费用0.05%的违约金。</w:t>
      </w:r>
    </w:p>
    <w:p>
      <w:pPr>
        <w:spacing w:line="560" w:lineRule="exact"/>
        <w:ind w:firstLine="560" w:firstLineChars="200"/>
        <w:rPr>
          <w:rFonts w:ascii="宋体" w:hAnsi="宋体" w:cs="宋体"/>
          <w:color w:val="252525" w:themeColor="text1" w:themeTint="D9"/>
          <w:kern w:val="0"/>
          <w:sz w:val="28"/>
          <w:szCs w:val="28"/>
        </w:rPr>
      </w:pPr>
      <w:r>
        <w:rPr>
          <w:rFonts w:hint="eastAsia" w:ascii="宋体" w:hAnsi="宋体" w:cs="宋体"/>
          <w:color w:val="252525" w:themeColor="text1" w:themeTint="D9"/>
          <w:kern w:val="0"/>
          <w:sz w:val="28"/>
          <w:szCs w:val="28"/>
        </w:rPr>
        <w:t>十三、其他事项</w:t>
      </w:r>
    </w:p>
    <w:p>
      <w:pPr>
        <w:spacing w:line="560" w:lineRule="exact"/>
        <w:ind w:firstLine="560" w:firstLineChars="200"/>
        <w:rPr>
          <w:rFonts w:ascii="方正仿宋_GBK" w:hAnsi="宋体" w:eastAsia="方正仿宋_GBK"/>
          <w:color w:val="000000"/>
          <w:sz w:val="28"/>
          <w:szCs w:val="28"/>
        </w:rPr>
      </w:pPr>
      <w:r>
        <w:rPr>
          <w:rFonts w:ascii="方正仿宋_GBK" w:hAnsi="宋体" w:eastAsia="方正仿宋_GBK"/>
          <w:color w:val="000000"/>
          <w:sz w:val="28"/>
          <w:szCs w:val="28"/>
        </w:rPr>
        <w:t>1</w:t>
      </w:r>
      <w:r>
        <w:rPr>
          <w:rFonts w:hint="eastAsia" w:ascii="方正仿宋_GBK" w:hAnsi="宋体" w:eastAsia="方正仿宋_GBK"/>
          <w:color w:val="000000"/>
          <w:sz w:val="28"/>
          <w:szCs w:val="28"/>
        </w:rPr>
        <w:t>、在本合同执行期间如发生争议时，应由甲乙双方先进行协商；经过甲乙双方协商未果，可向甲方所在地人民法院提起诉讼。</w:t>
      </w:r>
    </w:p>
    <w:p>
      <w:pPr>
        <w:spacing w:line="560" w:lineRule="exact"/>
        <w:ind w:firstLine="560" w:firstLineChars="200"/>
        <w:rPr>
          <w:rFonts w:ascii="方正仿宋_GBK" w:hAnsi="宋体" w:eastAsia="方正仿宋_GBK"/>
          <w:color w:val="000000"/>
          <w:sz w:val="28"/>
          <w:szCs w:val="28"/>
        </w:rPr>
      </w:pPr>
      <w:r>
        <w:rPr>
          <w:rFonts w:ascii="方正仿宋_GBK" w:hAnsi="宋体" w:eastAsia="方正仿宋_GBK"/>
          <w:color w:val="000000"/>
          <w:sz w:val="28"/>
          <w:szCs w:val="28"/>
        </w:rPr>
        <w:t>2</w:t>
      </w:r>
      <w:r>
        <w:rPr>
          <w:rFonts w:hint="eastAsia" w:ascii="方正仿宋_GBK" w:hAnsi="宋体" w:eastAsia="方正仿宋_GBK"/>
          <w:color w:val="000000"/>
          <w:sz w:val="28"/>
          <w:szCs w:val="28"/>
        </w:rPr>
        <w:t>、本合同执行期间，如遇不可抗拒的自然灾害（台风、洪水、地震等）致使合同无法履行时，双方协商解决。</w:t>
      </w:r>
    </w:p>
    <w:p>
      <w:pPr>
        <w:spacing w:line="560" w:lineRule="exact"/>
        <w:ind w:firstLine="560" w:firstLineChars="200"/>
        <w:rPr>
          <w:rFonts w:ascii="方正仿宋_GBK" w:hAnsi="宋体" w:eastAsia="方正仿宋_GBK"/>
          <w:color w:val="000000"/>
          <w:sz w:val="28"/>
          <w:szCs w:val="28"/>
        </w:rPr>
      </w:pPr>
      <w:r>
        <w:rPr>
          <w:rFonts w:ascii="方正仿宋_GBK" w:hAnsi="宋体" w:eastAsia="方正仿宋_GBK"/>
          <w:color w:val="000000"/>
          <w:sz w:val="28"/>
          <w:szCs w:val="28"/>
        </w:rPr>
        <w:t>3</w:t>
      </w:r>
      <w:r>
        <w:rPr>
          <w:rFonts w:hint="eastAsia" w:ascii="方正仿宋_GBK" w:hAnsi="宋体" w:eastAsia="方正仿宋_GBK"/>
          <w:color w:val="000000"/>
          <w:sz w:val="28"/>
          <w:szCs w:val="28"/>
        </w:rPr>
        <w:t>、本合同一式肆份，甲方执贰份，乙方执壹份，采购代理机构执壹份，双方代表签字盖章后方可生效，具有同等法律效力。</w:t>
      </w:r>
      <w:r>
        <w:rPr>
          <w:rFonts w:ascii="方正仿宋_GBK" w:hAnsi="宋体" w:eastAsia="方正仿宋_GBK"/>
          <w:color w:val="000000"/>
          <w:sz w:val="28"/>
          <w:szCs w:val="28"/>
        </w:rPr>
        <w:t> </w:t>
      </w:r>
    </w:p>
    <w:p>
      <w:pPr>
        <w:spacing w:line="560" w:lineRule="exact"/>
        <w:ind w:firstLine="560" w:firstLineChars="200"/>
        <w:rPr>
          <w:rFonts w:ascii="宋体" w:hAnsi="宋体" w:cs="宋体"/>
          <w:kern w:val="0"/>
          <w:sz w:val="28"/>
          <w:szCs w:val="28"/>
        </w:rPr>
      </w:pPr>
    </w:p>
    <w:p>
      <w:pPr>
        <w:spacing w:line="560" w:lineRule="exact"/>
        <w:rPr>
          <w:rFonts w:ascii="宋体" w:hAnsi="宋体" w:cs="宋体"/>
          <w:kern w:val="0"/>
          <w:sz w:val="28"/>
          <w:szCs w:val="28"/>
        </w:rPr>
      </w:pPr>
      <w:r>
        <w:rPr>
          <w:rFonts w:hint="eastAsia" w:ascii="宋体" w:hAnsi="宋体" w:cs="宋体"/>
          <w:kern w:val="0"/>
          <w:sz w:val="28"/>
          <w:szCs w:val="28"/>
        </w:rPr>
        <w:t>甲方（盖章）：</w:t>
      </w:r>
      <w:r>
        <w:rPr>
          <w:rFonts w:ascii="宋体" w:hAnsi="宋体" w:cs="宋体"/>
          <w:kern w:val="0"/>
          <w:sz w:val="28"/>
          <w:szCs w:val="28"/>
        </w:rPr>
        <w:t>        </w:t>
      </w:r>
      <w:r>
        <w:rPr>
          <w:rFonts w:hint="eastAsia" w:ascii="宋体" w:hAnsi="宋体" w:cs="宋体"/>
          <w:kern w:val="0"/>
          <w:sz w:val="28"/>
          <w:szCs w:val="28"/>
        </w:rPr>
        <w:t xml:space="preserve"> 乙方（盖章）：</w:t>
      </w:r>
    </w:p>
    <w:p>
      <w:pPr>
        <w:spacing w:line="560" w:lineRule="exact"/>
        <w:rPr>
          <w:rFonts w:ascii="宋体" w:hAnsi="宋体" w:cs="宋体"/>
          <w:kern w:val="0"/>
          <w:sz w:val="28"/>
          <w:szCs w:val="28"/>
        </w:rPr>
      </w:pPr>
      <w:r>
        <w:rPr>
          <w:rFonts w:hint="eastAsia" w:ascii="宋体" w:hAnsi="宋体" w:cs="宋体"/>
          <w:kern w:val="0"/>
          <w:sz w:val="28"/>
          <w:szCs w:val="28"/>
        </w:rPr>
        <w:t>代表：</w:t>
      </w:r>
      <w:r>
        <w:rPr>
          <w:rFonts w:ascii="宋体" w:hAnsi="宋体" w:cs="宋体"/>
          <w:kern w:val="0"/>
          <w:sz w:val="28"/>
          <w:szCs w:val="28"/>
        </w:rPr>
        <w:t>             </w:t>
      </w:r>
      <w:r>
        <w:rPr>
          <w:rFonts w:hint="eastAsia" w:ascii="宋体" w:hAnsi="宋体" w:cs="宋体"/>
          <w:kern w:val="0"/>
          <w:sz w:val="28"/>
          <w:szCs w:val="28"/>
        </w:rPr>
        <w:t xml:space="preserve"> 代表：</w:t>
      </w:r>
    </w:p>
    <w:p>
      <w:pPr>
        <w:spacing w:line="560" w:lineRule="exact"/>
        <w:rPr>
          <w:rFonts w:ascii="宋体" w:hAnsi="宋体" w:cs="宋体"/>
          <w:kern w:val="0"/>
          <w:sz w:val="28"/>
          <w:szCs w:val="28"/>
        </w:rPr>
      </w:pPr>
      <w:r>
        <w:rPr>
          <w:rFonts w:hint="eastAsia" w:ascii="宋体" w:hAnsi="宋体" w:cs="宋体"/>
          <w:kern w:val="0"/>
          <w:sz w:val="28"/>
          <w:szCs w:val="28"/>
        </w:rPr>
        <w:t>联系电话：</w:t>
      </w:r>
      <w:r>
        <w:rPr>
          <w:rFonts w:ascii="宋体" w:hAnsi="宋体" w:cs="宋体"/>
          <w:kern w:val="0"/>
          <w:sz w:val="28"/>
          <w:szCs w:val="28"/>
        </w:rPr>
        <w:t>          </w:t>
      </w:r>
      <w:r>
        <w:rPr>
          <w:rFonts w:hint="eastAsia" w:ascii="宋体" w:hAnsi="宋体" w:cs="宋体"/>
          <w:kern w:val="0"/>
          <w:sz w:val="28"/>
          <w:szCs w:val="28"/>
        </w:rPr>
        <w:t xml:space="preserve"> 联系电话：</w:t>
      </w:r>
    </w:p>
    <w:p>
      <w:pPr>
        <w:spacing w:line="560" w:lineRule="exact"/>
        <w:ind w:firstLine="560" w:firstLineChars="200"/>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开户银行：</w:t>
      </w:r>
    </w:p>
    <w:p>
      <w:pPr>
        <w:spacing w:line="560" w:lineRule="exact"/>
        <w:ind w:firstLine="560" w:firstLineChars="200"/>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户名：</w:t>
      </w:r>
    </w:p>
    <w:p>
      <w:pPr>
        <w:spacing w:line="560" w:lineRule="exact"/>
        <w:ind w:firstLine="560" w:firstLineChars="200"/>
        <w:rPr>
          <w:rFonts w:ascii="宋体" w:hAns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rPr>
        <w:t>帐号：</w:t>
      </w:r>
    </w:p>
    <w:p>
      <w:pPr>
        <w:spacing w:line="560" w:lineRule="exact"/>
        <w:ind w:firstLine="560" w:firstLineChars="200"/>
        <w:rPr>
          <w:rFonts w:ascii="宋体" w:hAnsi="宋体" w:cs="宋体"/>
          <w:kern w:val="0"/>
          <w:sz w:val="28"/>
          <w:szCs w:val="28"/>
        </w:rPr>
      </w:pPr>
    </w:p>
    <w:p>
      <w:pPr>
        <w:spacing w:line="560" w:lineRule="exact"/>
        <w:ind w:firstLine="2800" w:firstLineChars="1000"/>
        <w:rPr>
          <w:rFonts w:ascii="宋体" w:hAnsi="宋体" w:cs="宋体"/>
          <w:kern w:val="0"/>
          <w:sz w:val="28"/>
          <w:szCs w:val="28"/>
        </w:rPr>
      </w:pPr>
      <w:r>
        <w:rPr>
          <w:rFonts w:ascii="宋体" w:hAnsi="宋体" w:cs="宋体"/>
          <w:kern w:val="0"/>
          <w:sz w:val="28"/>
          <w:szCs w:val="28"/>
        </w:rPr>
        <w:t>   </w:t>
      </w:r>
      <w:r>
        <w:rPr>
          <w:rFonts w:hint="eastAsia" w:ascii="宋体" w:hAnsi="宋体" w:cs="宋体"/>
          <w:kern w:val="0"/>
          <w:sz w:val="28"/>
          <w:szCs w:val="28"/>
        </w:rPr>
        <w:t>签定日期：</w:t>
      </w:r>
      <w:r>
        <w:rPr>
          <w:rFonts w:ascii="宋体" w:hAnsi="宋体" w:cs="宋体"/>
          <w:kern w:val="0"/>
          <w:sz w:val="28"/>
          <w:szCs w:val="28"/>
        </w:rPr>
        <w:t xml:space="preserve">   </w:t>
      </w:r>
      <w:r>
        <w:rPr>
          <w:rFonts w:hint="eastAsia" w:ascii="宋体" w:hAnsi="宋体" w:cs="宋体"/>
          <w:kern w:val="0"/>
          <w:sz w:val="28"/>
          <w:szCs w:val="28"/>
        </w:rPr>
        <w:t>年</w:t>
      </w:r>
      <w:r>
        <w:rPr>
          <w:rFonts w:ascii="宋体" w:hAnsi="宋体" w:cs="宋体"/>
          <w:kern w:val="0"/>
          <w:sz w:val="28"/>
          <w:szCs w:val="28"/>
        </w:rPr>
        <w:t xml:space="preserve">  </w:t>
      </w:r>
      <w:r>
        <w:rPr>
          <w:rFonts w:hint="eastAsia" w:ascii="宋体" w:hAnsi="宋体" w:cs="宋体"/>
          <w:kern w:val="0"/>
          <w:sz w:val="28"/>
          <w:szCs w:val="28"/>
        </w:rPr>
        <w:t>月</w:t>
      </w:r>
      <w:r>
        <w:rPr>
          <w:rFonts w:ascii="宋体" w:hAnsi="宋体" w:cs="宋体"/>
          <w:kern w:val="0"/>
          <w:sz w:val="28"/>
          <w:szCs w:val="28"/>
        </w:rPr>
        <w:t xml:space="preserve">  </w:t>
      </w:r>
      <w:r>
        <w:rPr>
          <w:rFonts w:hint="eastAsia" w:ascii="宋体" w:hAnsi="宋体" w:cs="宋体"/>
          <w:kern w:val="0"/>
          <w:sz w:val="28"/>
          <w:szCs w:val="28"/>
        </w:rPr>
        <w:t>日</w:t>
      </w:r>
    </w:p>
    <w:p>
      <w:pPr>
        <w:spacing w:line="500" w:lineRule="exact"/>
        <w:jc w:val="center"/>
        <w:rPr>
          <w:rFonts w:ascii="仿宋" w:hAnsi="仿宋" w:eastAsia="仿宋"/>
          <w:b/>
          <w:sz w:val="44"/>
        </w:rPr>
      </w:pPr>
      <w:r>
        <w:rPr>
          <w:rFonts w:ascii="宋体" w:hAnsi="宋体" w:cs="宋体"/>
          <w:kern w:val="0"/>
          <w:sz w:val="28"/>
          <w:szCs w:val="28"/>
        </w:rPr>
        <w:br w:type="page"/>
      </w:r>
      <w:bookmarkStart w:id="59" w:name="_Hlt41879464"/>
      <w:bookmarkEnd w:id="59"/>
      <w:bookmarkStart w:id="60" w:name="_Toc29543190"/>
      <w:bookmarkStart w:id="61" w:name="_Toc12789072"/>
    </w:p>
    <w:p>
      <w:pPr>
        <w:pStyle w:val="3"/>
        <w:spacing w:before="0" w:after="0" w:line="560" w:lineRule="exact"/>
        <w:jc w:val="center"/>
        <w:rPr>
          <w:rFonts w:ascii="黑体" w:hAnsi="黑体"/>
          <w:b w:val="0"/>
          <w:color w:val="000000" w:themeColor="text1"/>
        </w:rPr>
      </w:pPr>
      <w:r>
        <w:rPr>
          <w:rFonts w:hint="eastAsia" w:ascii="黑体" w:hAnsi="黑体"/>
          <w:b w:val="0"/>
          <w:color w:val="000000" w:themeColor="text1"/>
        </w:rPr>
        <w:t>第六篇  响应文件格式要求</w:t>
      </w:r>
      <w:bookmarkEnd w:id="60"/>
      <w:bookmarkEnd w:id="61"/>
    </w:p>
    <w:p>
      <w:pPr>
        <w:rPr>
          <w:color w:val="000000" w:themeColor="text1"/>
        </w:rPr>
      </w:pPr>
    </w:p>
    <w:p>
      <w:pPr>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一、经济部分</w:t>
      </w:r>
    </w:p>
    <w:p>
      <w:pPr>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（一）竞争性报价函</w:t>
      </w:r>
    </w:p>
    <w:p>
      <w:pPr>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二、技术部分</w:t>
      </w:r>
    </w:p>
    <w:p>
      <w:pPr>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（一）技术应答</w:t>
      </w:r>
    </w:p>
    <w:p>
      <w:pPr>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（二）技术响应偏离表</w:t>
      </w:r>
    </w:p>
    <w:p>
      <w:pPr>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三、服务部分</w:t>
      </w:r>
    </w:p>
    <w:p>
      <w:pPr>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（一）服务要求响应情况：交货期、质量保证期、售后服务条款等。</w:t>
      </w:r>
    </w:p>
    <w:p>
      <w:pPr>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（二）服务响应偏离表</w:t>
      </w:r>
    </w:p>
    <w:p>
      <w:pPr>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（三）其它优惠承诺</w:t>
      </w:r>
    </w:p>
    <w:p>
      <w:pPr>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四、资格条件及其他</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（一）营业执照（副本）或事业单位法人证书（副本）复印件</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（二）组织机构代码证复印件</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（三）法定代表人身份证明书（格式）</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（四）法定代表人授权委托书（格式）</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（五）</w:t>
      </w:r>
      <w:r>
        <w:rPr>
          <w:rFonts w:hint="eastAsia" w:ascii="方正仿宋_GBK" w:hAnsi="宋体" w:eastAsia="方正仿宋_GBK"/>
          <w:color w:val="0000FF"/>
          <w:sz w:val="28"/>
          <w:szCs w:val="28"/>
        </w:rPr>
        <w:t>2020年度财务状况报告（表）复印件，本年度新成立的公司提供投标截止时间前一个月的财务状况报告（表）复印件</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（六）书面声明（格式）</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（七）税务登记证（副本）复印件和社会保险缴纳证明材料</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（八）特定资格条件证书或证明文件</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（九）信用中国网站及中国政府采购网查询结果（查询时间为本项目采购公告发布之日起至提交响应文件截止时间前）</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 信用中国网站（</w:t>
      </w:r>
      <w:r>
        <w:fldChar w:fldCharType="begin"/>
      </w:r>
      <w:r>
        <w:instrText xml:space="preserve"> HYPERLINK "http://www.creditchina.gov.cn" </w:instrText>
      </w:r>
      <w:r>
        <w:fldChar w:fldCharType="separate"/>
      </w:r>
      <w:r>
        <w:rPr>
          <w:rFonts w:hint="eastAsia" w:ascii="方正仿宋_GBK" w:hAnsi="宋体" w:eastAsia="方正仿宋_GBK"/>
          <w:color w:val="000000" w:themeColor="text1"/>
          <w:sz w:val="28"/>
          <w:szCs w:val="28"/>
        </w:rPr>
        <w:t>www.creditchina.gov.cn</w:t>
      </w:r>
      <w:r>
        <w:rPr>
          <w:rFonts w:hint="eastAsia" w:ascii="方正仿宋_GBK" w:hAnsi="宋体" w:eastAsia="方正仿宋_GBK"/>
          <w:color w:val="000000" w:themeColor="text1"/>
          <w:sz w:val="28"/>
          <w:szCs w:val="28"/>
        </w:rPr>
        <w:fldChar w:fldCharType="end"/>
      </w:r>
      <w:r>
        <w:rPr>
          <w:rFonts w:hint="eastAsia" w:ascii="方正仿宋_GBK" w:hAnsi="宋体" w:eastAsia="方正仿宋_GBK"/>
          <w:color w:val="000000" w:themeColor="text1"/>
          <w:sz w:val="28"/>
          <w:szCs w:val="28"/>
        </w:rPr>
        <w:t>）查询结果（提供查询结果网页打印件并加盖供应商公章）</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1.1“信用信息”查询结果；</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1.2“失信被执行人”查询结果；</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1.3“重大税收违法案件当事人名单”查询结果；</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1.4“政府行政许可与行政处罚”查询结果。</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2. 中国政府采购网（</w:t>
      </w:r>
      <w:r>
        <w:fldChar w:fldCharType="begin"/>
      </w:r>
      <w:r>
        <w:instrText xml:space="preserve"> HYPERLINK "http://www.ccgp.gov.cn" </w:instrText>
      </w:r>
      <w:r>
        <w:fldChar w:fldCharType="separate"/>
      </w:r>
      <w:r>
        <w:rPr>
          <w:rFonts w:hint="eastAsia" w:ascii="方正仿宋_GBK" w:hAnsi="宋体" w:eastAsia="方正仿宋_GBK"/>
          <w:color w:val="000000" w:themeColor="text1"/>
          <w:sz w:val="28"/>
          <w:szCs w:val="28"/>
        </w:rPr>
        <w:t>www.ccgp.gov.cn</w:t>
      </w:r>
      <w:r>
        <w:rPr>
          <w:rFonts w:hint="eastAsia" w:ascii="方正仿宋_GBK" w:hAnsi="宋体" w:eastAsia="方正仿宋_GBK"/>
          <w:color w:val="000000" w:themeColor="text1"/>
          <w:sz w:val="28"/>
          <w:szCs w:val="28"/>
        </w:rPr>
        <w:fldChar w:fldCharType="end"/>
      </w:r>
      <w:r>
        <w:rPr>
          <w:rFonts w:hint="eastAsia" w:ascii="方正仿宋_GBK" w:hAnsi="宋体" w:eastAsia="方正仿宋_GBK"/>
          <w:color w:val="000000" w:themeColor="text1"/>
          <w:sz w:val="28"/>
          <w:szCs w:val="28"/>
        </w:rPr>
        <w:t>）（提供查询结果网页打印件并加盖供应商公章）</w:t>
      </w:r>
    </w:p>
    <w:p>
      <w:pPr>
        <w:snapToGrid w:val="0"/>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“政府采购严重违法失信行为记录名单”查询结果。</w:t>
      </w:r>
    </w:p>
    <w:p>
      <w:pPr>
        <w:spacing w:line="44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说明：供应商按“三证合一”登记制度办理营业执照的，组织机构代码证和税务登记证以供应商所提供的法人营业执照（副本）复印件为准</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五、其他应提供的资料</w:t>
      </w:r>
    </w:p>
    <w:p>
      <w:pPr>
        <w:jc w:val="lef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 xml:space="preserve">    （一）反商业贿赂承诺书</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（二）产品质量及售后服务保证书</w:t>
      </w:r>
    </w:p>
    <w:p>
      <w:pPr>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（三）供应商认为其他与项目有关的资料（自附）</w:t>
      </w:r>
    </w:p>
    <w:p>
      <w:pPr>
        <w:snapToGrid w:val="0"/>
        <w:spacing w:line="560" w:lineRule="exact"/>
        <w:rPr>
          <w:rFonts w:ascii="方正仿宋_GBK" w:hAnsi="宋体" w:eastAsia="方正仿宋_GBK"/>
          <w:color w:val="000000" w:themeColor="text1"/>
          <w:szCs w:val="28"/>
          <w:bdr w:val="single" w:color="auto" w:sz="4" w:space="0"/>
        </w:rPr>
      </w:pPr>
    </w:p>
    <w:p>
      <w:pPr>
        <w:snapToGrid w:val="0"/>
        <w:spacing w:line="560" w:lineRule="exact"/>
        <w:rPr>
          <w:rFonts w:ascii="方正仿宋_GBK" w:hAnsi="宋体" w:eastAsia="方正仿宋_GBK"/>
          <w:color w:val="000000" w:themeColor="text1"/>
          <w:szCs w:val="28"/>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spacing w:before="0" w:after="0" w:line="560" w:lineRule="exact"/>
        <w:ind w:firstLine="560" w:firstLineChars="200"/>
        <w:rPr>
          <w:rFonts w:ascii="方正仿宋_GBK" w:hAnsi="宋体" w:eastAsia="方正仿宋_GBK"/>
          <w:b w:val="0"/>
          <w:color w:val="000000" w:themeColor="text1"/>
          <w:sz w:val="28"/>
          <w:szCs w:val="28"/>
        </w:rPr>
      </w:pPr>
      <w:bookmarkStart w:id="62" w:name="_Toc313008356"/>
      <w:bookmarkStart w:id="63" w:name="_Toc313888360"/>
      <w:bookmarkStart w:id="64" w:name="_Toc342913419"/>
      <w:bookmarkStart w:id="65" w:name="_Toc29543191"/>
      <w:bookmarkStart w:id="66" w:name="_Toc283382454"/>
      <w:bookmarkStart w:id="67" w:name="_Toc12789073"/>
      <w:r>
        <w:rPr>
          <w:rFonts w:hint="eastAsia" w:ascii="方正仿宋_GBK" w:hAnsi="宋体" w:eastAsia="方正仿宋_GBK"/>
          <w:b w:val="0"/>
          <w:color w:val="000000" w:themeColor="text1"/>
          <w:sz w:val="28"/>
          <w:szCs w:val="28"/>
        </w:rPr>
        <w:t>一、经济部分</w:t>
      </w:r>
      <w:bookmarkEnd w:id="62"/>
      <w:bookmarkEnd w:id="63"/>
      <w:bookmarkEnd w:id="64"/>
      <w:bookmarkEnd w:id="65"/>
    </w:p>
    <w:bookmarkEnd w:id="66"/>
    <w:bookmarkEnd w:id="67"/>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（一）竞争性磋商报价函</w:t>
      </w:r>
    </w:p>
    <w:p>
      <w:pPr>
        <w:tabs>
          <w:tab w:val="left" w:pos="6300"/>
        </w:tabs>
        <w:snapToGrid w:val="0"/>
        <w:spacing w:line="560" w:lineRule="exact"/>
        <w:jc w:val="center"/>
        <w:outlineLvl w:val="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竞争性磋商报价函</w:t>
      </w:r>
    </w:p>
    <w:p>
      <w:pPr>
        <w:tabs>
          <w:tab w:val="left" w:pos="6300"/>
        </w:tabs>
        <w:snapToGrid w:val="0"/>
        <w:spacing w:line="560" w:lineRule="exac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致重庆市江北区中医院：</w:t>
      </w:r>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我方收到____________________________（磋商项目名称）的竞争性磋商文件，经详细研究，决定参加该磋商项目的竞争磋商。</w:t>
      </w:r>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 xml:space="preserve">1.愿意按照竞争性磋商文件中的一切要求，提供本项目的交货及技术服务，初始报价为人民币大写：  元整；人民币小写：  元。以我公司最后报价为准。     </w:t>
      </w:r>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2.我方现提交的响应文件为：响应文件正本份，副本份。</w:t>
      </w:r>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3.我方承诺：本次磋商的有效期为90天。</w:t>
      </w:r>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4.我方完全理解和接受贵方竞争性磋商文件的一切规定和要求及磋商评审办法。</w:t>
      </w:r>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5.在整个竞争性磋商过程中，我方若有违规行为，接受按照《中华人民共和国政府采购法》和《竞争性磋商文件》之规定给予惩罚。</w:t>
      </w:r>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6.我方若成为成交供应商，将按照最终磋商结果签订合同，并且严格履行合同义务。本承诺函将成为合同不可分割的一部分，与合同具有同等的法律效力。</w:t>
      </w:r>
    </w:p>
    <w:p>
      <w:pPr>
        <w:tabs>
          <w:tab w:val="right" w:leader="middleDot" w:pos="8820"/>
        </w:tabs>
        <w:spacing w:line="58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7.本投标文件始终对我方有约束力，我方将遵守磋商文件规定，履行合同责任和义务，按照磋商文件条款及规定时间、地点提供保质保量的服务和产品。</w:t>
      </w:r>
    </w:p>
    <w:p>
      <w:pPr>
        <w:tabs>
          <w:tab w:val="left" w:pos="6300"/>
        </w:tabs>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8.我方未为采购项目提供整体设计、规范编制或者项目管理、监理、检测等服务。</w:t>
      </w:r>
    </w:p>
    <w:p>
      <w:pPr>
        <w:spacing w:line="580" w:lineRule="exact"/>
        <w:ind w:firstLine="560" w:firstLineChars="200"/>
        <w:rPr>
          <w:rFonts w:ascii="方正仿宋_GBK" w:eastAsia="方正仿宋_GBK"/>
          <w:color w:val="000000" w:themeColor="text1"/>
          <w:sz w:val="28"/>
          <w:szCs w:val="28"/>
        </w:rPr>
      </w:pPr>
      <w:r>
        <w:rPr>
          <w:rFonts w:hint="eastAsia" w:ascii="方正仿宋_GBK" w:hAnsi="宋体" w:eastAsia="方正仿宋_GBK"/>
          <w:color w:val="000000" w:themeColor="text1"/>
          <w:sz w:val="28"/>
          <w:szCs w:val="28"/>
        </w:rPr>
        <w:t>9.我方同意提供采购人要求的有关本次投标的其它任何资料。</w:t>
      </w:r>
    </w:p>
    <w:p>
      <w:pPr>
        <w:tabs>
          <w:tab w:val="left" w:pos="6300"/>
        </w:tabs>
        <w:snapToGrid w:val="0"/>
        <w:spacing w:line="560" w:lineRule="exact"/>
        <w:ind w:firstLine="57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供应商（公章）：</w:t>
      </w:r>
    </w:p>
    <w:p>
      <w:pPr>
        <w:tabs>
          <w:tab w:val="left" w:pos="6300"/>
        </w:tabs>
        <w:snapToGrid w:val="0"/>
        <w:spacing w:line="560" w:lineRule="exact"/>
        <w:ind w:firstLine="57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 xml:space="preserve">地址：  </w:t>
      </w:r>
    </w:p>
    <w:p>
      <w:pPr>
        <w:tabs>
          <w:tab w:val="left" w:pos="6300"/>
        </w:tabs>
        <w:snapToGrid w:val="0"/>
        <w:spacing w:line="560" w:lineRule="exact"/>
        <w:ind w:firstLine="57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电话：                           传真：</w:t>
      </w:r>
    </w:p>
    <w:p>
      <w:pPr>
        <w:tabs>
          <w:tab w:val="left" w:pos="6300"/>
        </w:tabs>
        <w:snapToGrid w:val="0"/>
        <w:spacing w:line="560" w:lineRule="exact"/>
        <w:ind w:firstLine="57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网址：                           邮编：</w:t>
      </w:r>
    </w:p>
    <w:p>
      <w:pPr>
        <w:tabs>
          <w:tab w:val="left" w:pos="6300"/>
        </w:tabs>
        <w:snapToGrid w:val="0"/>
        <w:spacing w:line="560" w:lineRule="exact"/>
        <w:ind w:firstLine="57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联系人：</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 xml:space="preserve">                               年   月   日</w:t>
      </w:r>
    </w:p>
    <w:p>
      <w:pPr>
        <w:snapToGrid w:val="0"/>
        <w:spacing w:line="560" w:lineRule="exact"/>
        <w:ind w:firstLine="560" w:firstLineChars="200"/>
        <w:rPr>
          <w:rFonts w:ascii="方正仿宋_GBK" w:hAnsi="宋体" w:eastAsia="方正仿宋_GBK"/>
          <w:color w:val="000000" w:themeColor="text1"/>
          <w:sz w:val="28"/>
          <w:szCs w:val="28"/>
        </w:rPr>
      </w:pPr>
    </w:p>
    <w:p>
      <w:pPr>
        <w:snapToGrid w:val="0"/>
        <w:spacing w:line="560" w:lineRule="exact"/>
        <w:ind w:firstLine="560" w:firstLineChars="200"/>
        <w:rPr>
          <w:rFonts w:ascii="方正仿宋_GBK" w:hAnsi="宋体" w:eastAsia="方正仿宋_GBK"/>
          <w:color w:val="000000" w:themeColor="text1"/>
          <w:sz w:val="28"/>
          <w:szCs w:val="28"/>
        </w:rPr>
      </w:pPr>
    </w:p>
    <w:p>
      <w:pPr>
        <w:snapToGrid w:val="0"/>
        <w:spacing w:line="560" w:lineRule="exact"/>
        <w:ind w:firstLine="560" w:firstLineChars="200"/>
        <w:rPr>
          <w:rFonts w:ascii="方正仿宋_GBK" w:hAnsi="宋体" w:eastAsia="方正仿宋_GBK"/>
          <w:color w:val="000000" w:themeColor="text1"/>
          <w:sz w:val="28"/>
          <w:szCs w:val="28"/>
        </w:rPr>
      </w:pPr>
    </w:p>
    <w:p>
      <w:pPr>
        <w:snapToGrid w:val="0"/>
        <w:spacing w:line="560" w:lineRule="exact"/>
        <w:ind w:firstLine="560" w:firstLineChars="200"/>
        <w:rPr>
          <w:rFonts w:ascii="方正仿宋_GBK" w:hAnsi="宋体" w:eastAsia="方正仿宋_GBK"/>
          <w:color w:val="000000" w:themeColor="text1"/>
          <w:sz w:val="28"/>
          <w:szCs w:val="28"/>
        </w:rPr>
      </w:pPr>
    </w:p>
    <w:p>
      <w:pPr>
        <w:snapToGrid w:val="0"/>
        <w:spacing w:line="560" w:lineRule="exact"/>
        <w:ind w:firstLine="560" w:firstLineChars="200"/>
        <w:rPr>
          <w:rFonts w:ascii="方正仿宋_GBK" w:hAnsi="宋体" w:eastAsia="方正仿宋_GBK"/>
          <w:color w:val="000000" w:themeColor="text1"/>
          <w:sz w:val="28"/>
          <w:szCs w:val="28"/>
        </w:rPr>
      </w:pPr>
    </w:p>
    <w:p>
      <w:pPr>
        <w:snapToGrid w:val="0"/>
        <w:spacing w:line="560" w:lineRule="exact"/>
        <w:ind w:firstLine="560" w:firstLineChars="200"/>
        <w:rPr>
          <w:rFonts w:ascii="方正仿宋_GBK" w:hAnsi="宋体" w:eastAsia="方正仿宋_GBK"/>
          <w:color w:val="000000" w:themeColor="text1"/>
          <w:sz w:val="28"/>
          <w:szCs w:val="28"/>
        </w:rPr>
      </w:pPr>
    </w:p>
    <w:p>
      <w:pPr>
        <w:snapToGrid w:val="0"/>
        <w:spacing w:line="560" w:lineRule="exact"/>
        <w:ind w:firstLine="560" w:firstLineChars="200"/>
        <w:rPr>
          <w:rFonts w:ascii="方正仿宋_GBK" w:hAnsi="宋体" w:eastAsia="方正仿宋_GBK"/>
          <w:color w:val="000000" w:themeColor="text1"/>
          <w:sz w:val="28"/>
          <w:szCs w:val="28"/>
        </w:rPr>
      </w:pPr>
    </w:p>
    <w:p>
      <w:pPr>
        <w:snapToGrid w:val="0"/>
        <w:spacing w:line="560" w:lineRule="exact"/>
        <w:ind w:firstLine="560" w:firstLineChars="200"/>
        <w:rPr>
          <w:rFonts w:ascii="方正仿宋_GBK" w:hAnsi="宋体" w:eastAsia="方正仿宋_GBK"/>
          <w:color w:val="000000" w:themeColor="text1"/>
          <w:sz w:val="28"/>
          <w:szCs w:val="28"/>
        </w:rPr>
      </w:pPr>
    </w:p>
    <w:p>
      <w:pPr>
        <w:snapToGrid w:val="0"/>
        <w:spacing w:line="560" w:lineRule="exact"/>
        <w:ind w:firstLine="560" w:firstLineChars="200"/>
        <w:rPr>
          <w:rFonts w:ascii="方正仿宋_GBK" w:hAnsi="宋体" w:eastAsia="方正仿宋_GBK"/>
          <w:color w:val="000000" w:themeColor="text1"/>
          <w:sz w:val="28"/>
          <w:szCs w:val="28"/>
        </w:rPr>
      </w:pPr>
    </w:p>
    <w:p>
      <w:pPr>
        <w:snapToGrid w:val="0"/>
        <w:spacing w:line="560" w:lineRule="exact"/>
        <w:ind w:firstLine="560" w:firstLineChars="200"/>
        <w:rPr>
          <w:rFonts w:ascii="方正仿宋_GBK" w:hAnsi="宋体" w:eastAsia="方正仿宋_GBK"/>
          <w:color w:val="000000" w:themeColor="text1"/>
          <w:sz w:val="28"/>
          <w:szCs w:val="28"/>
        </w:rPr>
      </w:pPr>
    </w:p>
    <w:p>
      <w:pPr>
        <w:snapToGrid w:val="0"/>
        <w:spacing w:line="560" w:lineRule="exact"/>
        <w:ind w:firstLine="560" w:firstLineChars="200"/>
        <w:rPr>
          <w:rFonts w:ascii="方正仿宋_GBK" w:hAnsi="宋体" w:eastAsia="方正仿宋_GBK"/>
          <w:color w:val="000000" w:themeColor="text1"/>
          <w:sz w:val="28"/>
          <w:szCs w:val="28"/>
        </w:rPr>
      </w:pPr>
    </w:p>
    <w:p>
      <w:pPr>
        <w:snapToGrid w:val="0"/>
        <w:spacing w:line="560" w:lineRule="exact"/>
        <w:ind w:firstLine="560" w:firstLineChars="200"/>
        <w:rPr>
          <w:rFonts w:ascii="方正仿宋_GBK" w:hAnsi="宋体" w:eastAsia="方正仿宋_GBK"/>
          <w:color w:val="000000" w:themeColor="text1"/>
          <w:sz w:val="28"/>
          <w:szCs w:val="28"/>
        </w:rPr>
      </w:pPr>
    </w:p>
    <w:p>
      <w:pPr>
        <w:snapToGrid w:val="0"/>
        <w:spacing w:line="560" w:lineRule="exact"/>
        <w:ind w:firstLine="560" w:firstLineChars="200"/>
        <w:rPr>
          <w:rFonts w:ascii="方正仿宋_GBK" w:hAnsi="宋体" w:eastAsia="方正仿宋_GBK"/>
          <w:color w:val="000000" w:themeColor="text1"/>
          <w:sz w:val="28"/>
          <w:szCs w:val="28"/>
        </w:rPr>
      </w:pPr>
    </w:p>
    <w:p>
      <w:pPr>
        <w:snapToGrid w:val="0"/>
        <w:spacing w:line="560" w:lineRule="exact"/>
        <w:ind w:firstLine="560" w:firstLineChars="200"/>
        <w:rPr>
          <w:rFonts w:ascii="方正仿宋_GBK" w:hAnsi="宋体" w:eastAsia="方正仿宋_GBK"/>
          <w:color w:val="000000" w:themeColor="text1"/>
          <w:sz w:val="28"/>
          <w:szCs w:val="28"/>
        </w:rPr>
      </w:pPr>
    </w:p>
    <w:p>
      <w:pPr>
        <w:snapToGrid w:val="0"/>
        <w:spacing w:line="560" w:lineRule="exact"/>
        <w:ind w:firstLine="560" w:firstLineChars="200"/>
        <w:rPr>
          <w:rFonts w:ascii="方正仿宋_GBK" w:hAnsi="宋体" w:eastAsia="方正仿宋_GBK"/>
          <w:color w:val="000000" w:themeColor="text1"/>
          <w:sz w:val="28"/>
          <w:szCs w:val="28"/>
        </w:rPr>
      </w:pPr>
    </w:p>
    <w:p>
      <w:pPr>
        <w:snapToGrid w:val="0"/>
        <w:spacing w:line="560" w:lineRule="exact"/>
        <w:ind w:firstLine="560" w:firstLineChars="200"/>
        <w:rPr>
          <w:rFonts w:ascii="方正仿宋_GBK" w:hAnsi="宋体" w:eastAsia="方正仿宋_GBK"/>
          <w:color w:val="000000" w:themeColor="text1"/>
          <w:sz w:val="28"/>
          <w:szCs w:val="28"/>
        </w:rPr>
      </w:pPr>
    </w:p>
    <w:p>
      <w:pPr>
        <w:snapToGrid w:val="0"/>
        <w:spacing w:line="560" w:lineRule="exact"/>
        <w:ind w:firstLine="560" w:firstLineChars="200"/>
        <w:rPr>
          <w:rFonts w:ascii="方正仿宋_GBK" w:hAnsi="宋体" w:eastAsia="方正仿宋_GBK"/>
          <w:color w:val="000000" w:themeColor="text1"/>
          <w:sz w:val="28"/>
          <w:szCs w:val="28"/>
        </w:rPr>
      </w:pPr>
    </w:p>
    <w:p>
      <w:pPr>
        <w:snapToGrid w:val="0"/>
        <w:spacing w:line="560" w:lineRule="exact"/>
        <w:ind w:firstLine="560" w:firstLineChars="200"/>
        <w:rPr>
          <w:rFonts w:ascii="方正仿宋_GBK" w:hAnsi="宋体" w:eastAsia="方正仿宋_GBK"/>
          <w:color w:val="000000" w:themeColor="text1"/>
          <w:sz w:val="28"/>
          <w:szCs w:val="28"/>
        </w:rPr>
      </w:pPr>
    </w:p>
    <w:p>
      <w:pPr>
        <w:snapToGrid w:val="0"/>
        <w:spacing w:line="560" w:lineRule="exact"/>
        <w:ind w:firstLine="560" w:firstLineChars="200"/>
        <w:rPr>
          <w:rFonts w:ascii="方正仿宋_GBK" w:hAnsi="宋体" w:eastAsia="方正仿宋_GBK"/>
          <w:color w:val="000000" w:themeColor="text1"/>
          <w:sz w:val="28"/>
          <w:szCs w:val="28"/>
        </w:rPr>
      </w:pPr>
    </w:p>
    <w:p>
      <w:pPr>
        <w:snapToGrid w:val="0"/>
        <w:spacing w:line="560" w:lineRule="exact"/>
        <w:rPr>
          <w:rFonts w:ascii="方正仿宋_GBK" w:hAnsi="宋体" w:eastAsia="方正仿宋_GBK"/>
          <w:color w:val="000000" w:themeColor="text1"/>
          <w:sz w:val="28"/>
          <w:szCs w:val="28"/>
        </w:rPr>
      </w:pPr>
    </w:p>
    <w:p>
      <w:pPr>
        <w:pStyle w:val="4"/>
        <w:spacing w:before="0" w:after="0" w:line="560" w:lineRule="exact"/>
        <w:rPr>
          <w:rFonts w:ascii="方正仿宋_GBK" w:hAnsi="宋体" w:eastAsia="方正仿宋_GBK"/>
          <w:b w:val="0"/>
          <w:sz w:val="28"/>
          <w:szCs w:val="28"/>
        </w:rPr>
      </w:pPr>
    </w:p>
    <w:p>
      <w:pPr>
        <w:pStyle w:val="4"/>
        <w:spacing w:before="0" w:after="0" w:line="560" w:lineRule="exact"/>
        <w:rPr>
          <w:rFonts w:ascii="方正仿宋_GBK" w:hAnsi="宋体" w:eastAsia="方正仿宋_GBK"/>
          <w:b w:val="0"/>
          <w:sz w:val="28"/>
          <w:szCs w:val="28"/>
        </w:rPr>
      </w:pPr>
      <w:r>
        <w:rPr>
          <w:rFonts w:hint="eastAsia" w:ascii="方正仿宋_GBK" w:hAnsi="宋体" w:eastAsia="方正仿宋_GBK"/>
          <w:b w:val="0"/>
          <w:sz w:val="28"/>
          <w:szCs w:val="28"/>
        </w:rPr>
        <w:t>二、技术部分</w:t>
      </w:r>
    </w:p>
    <w:p>
      <w:pPr>
        <w:snapToGrid w:val="0"/>
        <w:spacing w:line="360" w:lineRule="auto"/>
        <w:jc w:val="center"/>
        <w:rPr>
          <w:rFonts w:ascii="方正仿宋_GBK" w:hAnsi="宋体" w:eastAsia="方正仿宋_GBK"/>
          <w:sz w:val="24"/>
        </w:rPr>
      </w:pPr>
      <w:r>
        <w:rPr>
          <w:rFonts w:hint="eastAsia" w:ascii="方正仿宋_GBK" w:hAnsi="宋体" w:eastAsia="方正仿宋_GBK"/>
          <w:sz w:val="24"/>
        </w:rPr>
        <w:t>（一）技术应答（格式自定）</w:t>
      </w:r>
    </w:p>
    <w:p>
      <w:pPr>
        <w:snapToGrid w:val="0"/>
        <w:spacing w:line="560" w:lineRule="exact"/>
        <w:jc w:val="left"/>
        <w:rPr>
          <w:rFonts w:ascii="方正仿宋_GBK" w:hAnsi="宋体" w:eastAsia="方正仿宋_GBK"/>
          <w:sz w:val="28"/>
          <w:szCs w:val="28"/>
        </w:rPr>
      </w:pPr>
      <w:r>
        <w:rPr>
          <w:rFonts w:hint="eastAsia" w:ascii="方正仿宋_GBK" w:hAnsi="宋体" w:eastAsia="方正仿宋_GBK"/>
          <w:sz w:val="28"/>
          <w:szCs w:val="28"/>
        </w:rPr>
        <w:t xml:space="preserve"> </w:t>
      </w: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sz w:val="24"/>
        </w:rPr>
        <w:t>（二）技术响应偏离表</w:t>
      </w:r>
    </w:p>
    <w:p>
      <w:pPr>
        <w:pStyle w:val="32"/>
        <w:tabs>
          <w:tab w:val="left" w:pos="6300"/>
        </w:tabs>
        <w:snapToGrid w:val="0"/>
        <w:spacing w:line="500" w:lineRule="exact"/>
        <w:ind w:firstLine="480" w:firstLineChars="200"/>
        <w:outlineLvl w:val="0"/>
        <w:rPr>
          <w:rFonts w:ascii="方正仿宋_GBK" w:hAnsi="宋体" w:eastAsia="方正仿宋_GBK"/>
          <w:sz w:val="24"/>
        </w:rPr>
      </w:pPr>
      <w:r>
        <w:rPr>
          <w:rFonts w:hint="eastAsia" w:ascii="方正仿宋_GBK" w:hAnsi="宋体" w:eastAsia="方正仿宋_GBK"/>
          <w:sz w:val="24"/>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序号</w:t>
            </w: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采购需求</w:t>
            </w: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响应情况</w:t>
            </w: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658"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759" w:type="dxa"/>
            <w:vAlign w:val="center"/>
          </w:tcPr>
          <w:p>
            <w:pPr>
              <w:tabs>
                <w:tab w:val="left" w:pos="6300"/>
              </w:tabs>
              <w:snapToGrid w:val="0"/>
              <w:spacing w:line="500" w:lineRule="exact"/>
              <w:jc w:val="center"/>
              <w:outlineLvl w:val="0"/>
              <w:rPr>
                <w:rFonts w:ascii="方正仿宋_GBK" w:hAnsi="宋体" w:eastAsia="方正仿宋_GBK"/>
                <w:szCs w:val="21"/>
              </w:rPr>
            </w:pPr>
          </w:p>
        </w:tc>
        <w:tc>
          <w:tcPr>
            <w:tcW w:w="2067" w:type="dxa"/>
            <w:vAlign w:val="center"/>
          </w:tcPr>
          <w:p>
            <w:pPr>
              <w:tabs>
                <w:tab w:val="left" w:pos="6300"/>
              </w:tabs>
              <w:snapToGrid w:val="0"/>
              <w:spacing w:line="500" w:lineRule="exact"/>
              <w:jc w:val="center"/>
              <w:outlineLvl w:val="0"/>
              <w:rPr>
                <w:rFonts w:ascii="方正仿宋_GBK" w:hAnsi="宋体" w:eastAsia="方正仿宋_GBK"/>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1.本表即为对本项目“第三篇  谈判项目技术需求”中所列技术要求进行比较和响应；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2.该表必须按照竞争性谈判要求逐条如实填写，根据响应情况在“差异说明”项填写正偏离或负偏离及原因，完全符合的填写“无差异”；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5.若“响应情况”栏中仅填写“无偏离”或“有偏离”等内容而未作实质性参数描述，该供应商将失去成为成交供应商的资格，仅保留其合格供应商的身份。</w:t>
      </w:r>
    </w:p>
    <w:p>
      <w:pPr>
        <w:pStyle w:val="4"/>
        <w:spacing w:before="0" w:after="0" w:line="360" w:lineRule="auto"/>
        <w:rPr>
          <w:rFonts w:ascii="方正仿宋_GBK" w:hAnsi="宋体" w:eastAsia="方正仿宋_GBK"/>
          <w:sz w:val="24"/>
          <w:szCs w:val="24"/>
        </w:rPr>
      </w:pPr>
      <w:r>
        <w:rPr>
          <w:rFonts w:ascii="方正仿宋_GBK" w:eastAsia="方正仿宋_GBK"/>
          <w:b w:val="0"/>
        </w:rPr>
        <w:br w:type="page"/>
      </w:r>
      <w:bookmarkStart w:id="68" w:name="_Toc475106751"/>
      <w:bookmarkStart w:id="69" w:name="_Toc518028924"/>
      <w:r>
        <w:rPr>
          <w:rFonts w:hint="eastAsia" w:ascii="方正仿宋_GBK" w:hAnsi="宋体" w:eastAsia="方正仿宋_GBK"/>
          <w:sz w:val="24"/>
          <w:szCs w:val="24"/>
        </w:rPr>
        <w:t>三、服务部分</w:t>
      </w:r>
      <w:bookmarkEnd w:id="68"/>
      <w:bookmarkEnd w:id="69"/>
    </w:p>
    <w:p>
      <w:pPr>
        <w:snapToGrid w:val="0"/>
        <w:spacing w:line="360" w:lineRule="auto"/>
        <w:ind w:firstLine="480" w:firstLineChars="200"/>
        <w:rPr>
          <w:rFonts w:ascii="方正仿宋_GBK" w:eastAsia="方正仿宋_GBK"/>
          <w:b/>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（一）服务要求响应情况：交货时间、交货地点、服务条款等（格式自定）</w:t>
      </w:r>
    </w:p>
    <w:p>
      <w:pPr>
        <w:spacing w:line="360" w:lineRule="auto"/>
        <w:ind w:firstLine="480" w:firstLineChars="200"/>
        <w:rPr>
          <w:rFonts w:ascii="方正仿宋_GBK" w:hAnsi="宋体" w:eastAsia="方正仿宋_GBK"/>
          <w:sz w:val="24"/>
        </w:rPr>
      </w:pPr>
      <w:bookmarkStart w:id="70" w:name="_Toc283382459"/>
      <w:r>
        <w:rPr>
          <w:rFonts w:hint="eastAsia" w:ascii="方正仿宋_GBK" w:hAnsi="宋体" w:eastAsia="方正仿宋_GBK"/>
          <w:sz w:val="24"/>
        </w:rPr>
        <w:t>（二）服务响应偏离表</w:t>
      </w:r>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服务响应偏离表（本表可自行设计格式）</w:t>
      </w:r>
    </w:p>
    <w:p>
      <w:pPr>
        <w:snapToGrid w:val="0"/>
        <w:spacing w:line="360" w:lineRule="auto"/>
        <w:ind w:firstLine="465"/>
        <w:rPr>
          <w:rFonts w:ascii="方正仿宋_GBK" w:hAnsi="宋体" w:eastAsia="方正仿宋_GBK"/>
          <w:sz w:val="24"/>
        </w:rPr>
      </w:pPr>
      <w:r>
        <w:rPr>
          <w:rFonts w:hint="eastAsia" w:ascii="方正仿宋_GBK" w:hAnsi="宋体" w:eastAsia="方正仿宋_GBK"/>
          <w:sz w:val="24"/>
        </w:rPr>
        <w:t>对于竞争性磋商文件的服务要求，如有任何偏离请如实填写下表：</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rPr>
            </w:pPr>
            <w:r>
              <w:rPr>
                <w:rFonts w:hint="eastAsia" w:ascii="方正仿宋_GBK" w:hAnsi="宋体" w:eastAsia="方正仿宋_GBK"/>
              </w:rPr>
              <w:t>序号</w:t>
            </w:r>
          </w:p>
        </w:tc>
        <w:tc>
          <w:tcPr>
            <w:tcW w:w="3179" w:type="dxa"/>
            <w:vAlign w:val="center"/>
          </w:tcPr>
          <w:p>
            <w:pPr>
              <w:tabs>
                <w:tab w:val="left" w:pos="6300"/>
              </w:tabs>
              <w:snapToGrid w:val="0"/>
              <w:spacing w:line="360" w:lineRule="auto"/>
              <w:jc w:val="center"/>
              <w:outlineLvl w:val="0"/>
              <w:rPr>
                <w:rFonts w:ascii="方正仿宋_GBK" w:hAnsi="宋体" w:eastAsia="方正仿宋_GBK"/>
              </w:rPr>
            </w:pPr>
            <w:r>
              <w:rPr>
                <w:rFonts w:hint="eastAsia" w:ascii="方正仿宋_GBK" w:hAnsi="宋体" w:eastAsia="方正仿宋_GBK"/>
              </w:rPr>
              <w:t>磋商项目需求</w:t>
            </w:r>
          </w:p>
        </w:tc>
        <w:tc>
          <w:tcPr>
            <w:tcW w:w="2434" w:type="dxa"/>
            <w:vAlign w:val="center"/>
          </w:tcPr>
          <w:p>
            <w:pPr>
              <w:tabs>
                <w:tab w:val="left" w:pos="6300"/>
              </w:tabs>
              <w:snapToGrid w:val="0"/>
              <w:spacing w:line="360" w:lineRule="auto"/>
              <w:jc w:val="center"/>
              <w:outlineLvl w:val="0"/>
              <w:rPr>
                <w:rFonts w:ascii="方正仿宋_GBK" w:hAnsi="宋体" w:eastAsia="方正仿宋_GBK"/>
              </w:rPr>
            </w:pPr>
            <w:r>
              <w:rPr>
                <w:rFonts w:hint="eastAsia" w:ascii="方正仿宋_GBK" w:hAnsi="宋体" w:eastAsia="方正仿宋_GBK"/>
              </w:rPr>
              <w:t>响应情况</w:t>
            </w:r>
          </w:p>
        </w:tc>
        <w:tc>
          <w:tcPr>
            <w:tcW w:w="2355" w:type="dxa"/>
            <w:vAlign w:val="center"/>
          </w:tcPr>
          <w:p>
            <w:pPr>
              <w:tabs>
                <w:tab w:val="left" w:pos="6300"/>
              </w:tabs>
              <w:snapToGrid w:val="0"/>
              <w:spacing w:line="360" w:lineRule="auto"/>
              <w:jc w:val="center"/>
              <w:outlineLvl w:val="0"/>
              <w:rPr>
                <w:rFonts w:ascii="方正仿宋_GBK" w:hAnsi="宋体" w:eastAsia="方正仿宋_GBK"/>
              </w:rPr>
            </w:pPr>
            <w:r>
              <w:rPr>
                <w:rFonts w:hint="eastAsia" w:ascii="方正仿宋_GBK" w:hAnsi="宋体" w:eastAsia="方正仿宋_GBK"/>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rPr>
            </w:pPr>
          </w:p>
        </w:tc>
        <w:tc>
          <w:tcPr>
            <w:tcW w:w="3179" w:type="dxa"/>
            <w:vAlign w:val="center"/>
          </w:tcPr>
          <w:p>
            <w:pPr>
              <w:tabs>
                <w:tab w:val="left" w:pos="6300"/>
              </w:tabs>
              <w:snapToGrid w:val="0"/>
              <w:spacing w:line="360" w:lineRule="auto"/>
              <w:jc w:val="center"/>
              <w:outlineLvl w:val="0"/>
              <w:rPr>
                <w:rFonts w:ascii="方正仿宋_GBK" w:hAnsi="宋体" w:eastAsia="方正仿宋_GBK"/>
              </w:rPr>
            </w:pPr>
          </w:p>
        </w:tc>
        <w:tc>
          <w:tcPr>
            <w:tcW w:w="2434" w:type="dxa"/>
            <w:vAlign w:val="center"/>
          </w:tcPr>
          <w:p>
            <w:pPr>
              <w:tabs>
                <w:tab w:val="left" w:pos="6300"/>
              </w:tabs>
              <w:snapToGrid w:val="0"/>
              <w:spacing w:line="360" w:lineRule="auto"/>
              <w:jc w:val="center"/>
              <w:outlineLvl w:val="0"/>
              <w:rPr>
                <w:rFonts w:ascii="方正仿宋_GBK" w:hAnsi="宋体" w:eastAsia="方正仿宋_GBK"/>
              </w:rPr>
            </w:pPr>
          </w:p>
        </w:tc>
        <w:tc>
          <w:tcPr>
            <w:tcW w:w="2355" w:type="dxa"/>
            <w:vAlign w:val="center"/>
          </w:tcPr>
          <w:p>
            <w:pPr>
              <w:tabs>
                <w:tab w:val="left" w:pos="6300"/>
              </w:tabs>
              <w:snapToGrid w:val="0"/>
              <w:spacing w:line="360" w:lineRule="auto"/>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rPr>
            </w:pPr>
          </w:p>
        </w:tc>
        <w:tc>
          <w:tcPr>
            <w:tcW w:w="3179" w:type="dxa"/>
            <w:vAlign w:val="center"/>
          </w:tcPr>
          <w:p>
            <w:pPr>
              <w:tabs>
                <w:tab w:val="left" w:pos="6300"/>
              </w:tabs>
              <w:snapToGrid w:val="0"/>
              <w:spacing w:line="360" w:lineRule="auto"/>
              <w:jc w:val="center"/>
              <w:outlineLvl w:val="0"/>
              <w:rPr>
                <w:rFonts w:ascii="方正仿宋_GBK" w:hAnsi="宋体" w:eastAsia="方正仿宋_GBK"/>
              </w:rPr>
            </w:pPr>
          </w:p>
        </w:tc>
        <w:tc>
          <w:tcPr>
            <w:tcW w:w="2434" w:type="dxa"/>
            <w:vAlign w:val="center"/>
          </w:tcPr>
          <w:p>
            <w:pPr>
              <w:tabs>
                <w:tab w:val="left" w:pos="6300"/>
              </w:tabs>
              <w:snapToGrid w:val="0"/>
              <w:spacing w:line="360" w:lineRule="auto"/>
              <w:jc w:val="center"/>
              <w:outlineLvl w:val="0"/>
              <w:rPr>
                <w:rFonts w:ascii="方正仿宋_GBK" w:hAnsi="宋体" w:eastAsia="方正仿宋_GBK"/>
              </w:rPr>
            </w:pPr>
          </w:p>
        </w:tc>
        <w:tc>
          <w:tcPr>
            <w:tcW w:w="2355" w:type="dxa"/>
            <w:vAlign w:val="center"/>
          </w:tcPr>
          <w:p>
            <w:pPr>
              <w:tabs>
                <w:tab w:val="left" w:pos="6300"/>
              </w:tabs>
              <w:snapToGrid w:val="0"/>
              <w:spacing w:line="360" w:lineRule="auto"/>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rPr>
            </w:pPr>
          </w:p>
        </w:tc>
        <w:tc>
          <w:tcPr>
            <w:tcW w:w="3179" w:type="dxa"/>
            <w:vAlign w:val="center"/>
          </w:tcPr>
          <w:p>
            <w:pPr>
              <w:tabs>
                <w:tab w:val="left" w:pos="6300"/>
              </w:tabs>
              <w:snapToGrid w:val="0"/>
              <w:spacing w:line="360" w:lineRule="auto"/>
              <w:jc w:val="center"/>
              <w:outlineLvl w:val="0"/>
              <w:rPr>
                <w:rFonts w:ascii="方正仿宋_GBK" w:hAnsi="宋体" w:eastAsia="方正仿宋_GBK"/>
              </w:rPr>
            </w:pPr>
          </w:p>
        </w:tc>
        <w:tc>
          <w:tcPr>
            <w:tcW w:w="2434" w:type="dxa"/>
            <w:vAlign w:val="center"/>
          </w:tcPr>
          <w:p>
            <w:pPr>
              <w:tabs>
                <w:tab w:val="left" w:pos="6300"/>
              </w:tabs>
              <w:snapToGrid w:val="0"/>
              <w:spacing w:line="360" w:lineRule="auto"/>
              <w:jc w:val="center"/>
              <w:outlineLvl w:val="0"/>
              <w:rPr>
                <w:rFonts w:ascii="方正仿宋_GBK" w:hAnsi="宋体" w:eastAsia="方正仿宋_GBK"/>
              </w:rPr>
            </w:pPr>
          </w:p>
        </w:tc>
        <w:tc>
          <w:tcPr>
            <w:tcW w:w="2355" w:type="dxa"/>
            <w:vAlign w:val="center"/>
          </w:tcPr>
          <w:p>
            <w:pPr>
              <w:tabs>
                <w:tab w:val="left" w:pos="6300"/>
              </w:tabs>
              <w:snapToGrid w:val="0"/>
              <w:spacing w:line="360" w:lineRule="auto"/>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rPr>
            </w:pPr>
          </w:p>
        </w:tc>
        <w:tc>
          <w:tcPr>
            <w:tcW w:w="3179" w:type="dxa"/>
            <w:vAlign w:val="center"/>
          </w:tcPr>
          <w:p>
            <w:pPr>
              <w:tabs>
                <w:tab w:val="left" w:pos="6300"/>
              </w:tabs>
              <w:snapToGrid w:val="0"/>
              <w:spacing w:line="360" w:lineRule="auto"/>
              <w:jc w:val="center"/>
              <w:outlineLvl w:val="0"/>
              <w:rPr>
                <w:rFonts w:ascii="方正仿宋_GBK" w:hAnsi="宋体" w:eastAsia="方正仿宋_GBK"/>
              </w:rPr>
            </w:pPr>
          </w:p>
        </w:tc>
        <w:tc>
          <w:tcPr>
            <w:tcW w:w="2434" w:type="dxa"/>
            <w:vAlign w:val="center"/>
          </w:tcPr>
          <w:p>
            <w:pPr>
              <w:tabs>
                <w:tab w:val="left" w:pos="6300"/>
              </w:tabs>
              <w:snapToGrid w:val="0"/>
              <w:spacing w:line="360" w:lineRule="auto"/>
              <w:jc w:val="center"/>
              <w:outlineLvl w:val="0"/>
              <w:rPr>
                <w:rFonts w:ascii="方正仿宋_GBK" w:hAnsi="宋体" w:eastAsia="方正仿宋_GBK"/>
              </w:rPr>
            </w:pPr>
          </w:p>
        </w:tc>
        <w:tc>
          <w:tcPr>
            <w:tcW w:w="2355" w:type="dxa"/>
            <w:vAlign w:val="center"/>
          </w:tcPr>
          <w:p>
            <w:pPr>
              <w:tabs>
                <w:tab w:val="left" w:pos="6300"/>
              </w:tabs>
              <w:snapToGrid w:val="0"/>
              <w:spacing w:line="360" w:lineRule="auto"/>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rPr>
            </w:pPr>
          </w:p>
        </w:tc>
        <w:tc>
          <w:tcPr>
            <w:tcW w:w="3179" w:type="dxa"/>
            <w:vAlign w:val="center"/>
          </w:tcPr>
          <w:p>
            <w:pPr>
              <w:tabs>
                <w:tab w:val="left" w:pos="6300"/>
              </w:tabs>
              <w:snapToGrid w:val="0"/>
              <w:spacing w:line="360" w:lineRule="auto"/>
              <w:jc w:val="center"/>
              <w:outlineLvl w:val="0"/>
              <w:rPr>
                <w:rFonts w:ascii="方正仿宋_GBK" w:hAnsi="宋体" w:eastAsia="方正仿宋_GBK"/>
              </w:rPr>
            </w:pPr>
          </w:p>
        </w:tc>
        <w:tc>
          <w:tcPr>
            <w:tcW w:w="2434" w:type="dxa"/>
            <w:vAlign w:val="center"/>
          </w:tcPr>
          <w:p>
            <w:pPr>
              <w:tabs>
                <w:tab w:val="left" w:pos="6300"/>
              </w:tabs>
              <w:snapToGrid w:val="0"/>
              <w:spacing w:line="360" w:lineRule="auto"/>
              <w:jc w:val="center"/>
              <w:outlineLvl w:val="0"/>
              <w:rPr>
                <w:rFonts w:ascii="方正仿宋_GBK" w:hAnsi="宋体" w:eastAsia="方正仿宋_GBK"/>
              </w:rPr>
            </w:pPr>
          </w:p>
        </w:tc>
        <w:tc>
          <w:tcPr>
            <w:tcW w:w="2355" w:type="dxa"/>
            <w:vAlign w:val="center"/>
          </w:tcPr>
          <w:p>
            <w:pPr>
              <w:tabs>
                <w:tab w:val="left" w:pos="6300"/>
              </w:tabs>
              <w:snapToGrid w:val="0"/>
              <w:spacing w:line="360" w:lineRule="auto"/>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rPr>
            </w:pPr>
          </w:p>
        </w:tc>
        <w:tc>
          <w:tcPr>
            <w:tcW w:w="3179" w:type="dxa"/>
            <w:vAlign w:val="center"/>
          </w:tcPr>
          <w:p>
            <w:pPr>
              <w:tabs>
                <w:tab w:val="left" w:pos="6300"/>
              </w:tabs>
              <w:snapToGrid w:val="0"/>
              <w:spacing w:line="360" w:lineRule="auto"/>
              <w:jc w:val="center"/>
              <w:outlineLvl w:val="0"/>
              <w:rPr>
                <w:rFonts w:ascii="方正仿宋_GBK" w:hAnsi="宋体" w:eastAsia="方正仿宋_GBK"/>
              </w:rPr>
            </w:pPr>
          </w:p>
        </w:tc>
        <w:tc>
          <w:tcPr>
            <w:tcW w:w="2434" w:type="dxa"/>
            <w:vAlign w:val="center"/>
          </w:tcPr>
          <w:p>
            <w:pPr>
              <w:tabs>
                <w:tab w:val="left" w:pos="6300"/>
              </w:tabs>
              <w:snapToGrid w:val="0"/>
              <w:spacing w:line="360" w:lineRule="auto"/>
              <w:jc w:val="center"/>
              <w:outlineLvl w:val="0"/>
              <w:rPr>
                <w:rFonts w:ascii="方正仿宋_GBK" w:hAnsi="宋体" w:eastAsia="方正仿宋_GBK"/>
              </w:rPr>
            </w:pPr>
          </w:p>
        </w:tc>
        <w:tc>
          <w:tcPr>
            <w:tcW w:w="2355" w:type="dxa"/>
            <w:vAlign w:val="center"/>
          </w:tcPr>
          <w:p>
            <w:pPr>
              <w:tabs>
                <w:tab w:val="left" w:pos="6300"/>
              </w:tabs>
              <w:snapToGrid w:val="0"/>
              <w:spacing w:line="360" w:lineRule="auto"/>
              <w:jc w:val="center"/>
              <w:outlineLvl w:val="0"/>
              <w:rPr>
                <w:rFonts w:ascii="方正仿宋_GBK" w:hAnsi="宋体" w:eastAsia="方正仿宋_GBK"/>
              </w:rPr>
            </w:pPr>
          </w:p>
        </w:tc>
      </w:tr>
    </w:tbl>
    <w:p>
      <w:pPr>
        <w:snapToGrid w:val="0"/>
        <w:spacing w:line="360" w:lineRule="auto"/>
        <w:ind w:firstLine="465"/>
        <w:rPr>
          <w:rFonts w:ascii="方正仿宋_GBK" w:hAnsi="宋体" w:eastAsia="方正仿宋_GBK"/>
          <w:sz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1.本表即为对本项目“第四篇 磋商项目服务需求”中所列服务要求进行比较和响应；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spacing w:line="360" w:lineRule="auto"/>
        <w:ind w:firstLine="420" w:firstLineChars="200"/>
        <w:rPr>
          <w:rFonts w:ascii="方正仿宋_GBK" w:hAnsi="宋体" w:eastAsia="方正仿宋_GBK"/>
          <w:sz w:val="24"/>
        </w:rPr>
      </w:pPr>
      <w:r>
        <w:br w:type="page"/>
      </w:r>
      <w:r>
        <w:rPr>
          <w:rFonts w:hint="eastAsia" w:ascii="方正仿宋_GBK" w:hAnsi="宋体" w:eastAsia="方正仿宋_GBK"/>
          <w:sz w:val="24"/>
        </w:rPr>
        <w:t>（三）其它优惠承诺（格式自定）</w:t>
      </w:r>
    </w:p>
    <w:p>
      <w:pPr>
        <w:pStyle w:val="4"/>
        <w:spacing w:before="0" w:after="0" w:line="360" w:lineRule="auto"/>
        <w:rPr>
          <w:rFonts w:ascii="方正仿宋_GBK" w:hAnsi="宋体" w:eastAsia="方正仿宋_GBK"/>
          <w:sz w:val="24"/>
          <w:szCs w:val="24"/>
        </w:rPr>
      </w:pPr>
      <w:r>
        <w:rPr>
          <w:rFonts w:ascii="方正仿宋_GBK" w:hAnsi="宋体" w:eastAsia="方正仿宋_GBK"/>
          <w:sz w:val="24"/>
          <w:szCs w:val="24"/>
        </w:rPr>
        <w:br w:type="page"/>
      </w:r>
      <w:bookmarkEnd w:id="70"/>
      <w:bookmarkStart w:id="71" w:name="_Toc518028925"/>
      <w:bookmarkStart w:id="72" w:name="_Toc475106752"/>
      <w:r>
        <w:rPr>
          <w:rFonts w:hint="eastAsia" w:ascii="方正仿宋_GBK" w:hAnsi="宋体" w:eastAsia="方正仿宋_GBK"/>
          <w:sz w:val="24"/>
          <w:szCs w:val="24"/>
        </w:rPr>
        <w:t>四、资格条件及其他</w:t>
      </w:r>
      <w:bookmarkEnd w:id="71"/>
      <w:bookmarkEnd w:id="72"/>
    </w:p>
    <w:p>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（二）组织机构代码证复印件</w:t>
      </w: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ind w:firstLine="42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（四）法定代表人授权委托书（格式）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570"/>
        <w:rPr>
          <w:rFonts w:ascii="方正仿宋_GBK" w:hAnsi="宋体" w:eastAsia="方正仿宋_GBK"/>
        </w:rPr>
      </w:pPr>
      <w:r>
        <w:rPr>
          <w:rFonts w:ascii="宋体" w:hAnsi="宋体"/>
        </w:rPr>
        <w:br w:type="column"/>
      </w:r>
      <w:r>
        <w:rPr>
          <w:rFonts w:hint="eastAsia" w:ascii="方正仿宋_GBK" w:hAnsi="宋体" w:eastAsia="方正仿宋_GBK"/>
        </w:rPr>
        <w:t>（五）</w:t>
      </w:r>
      <w:r>
        <w:rPr>
          <w:rFonts w:hint="eastAsia" w:ascii="方正仿宋_GBK" w:hAnsi="宋体" w:eastAsia="方正仿宋_GBK"/>
          <w:sz w:val="24"/>
        </w:rPr>
        <w:t>2020年度财务状况报告（表）复印件，本年度新成立的公司提供投标截止时间前一个月的财务状况报告（表）复印件</w:t>
      </w: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570"/>
        <w:jc w:val="center"/>
        <w:rPr>
          <w:rFonts w:ascii="方正仿宋_GBK" w:hAnsi="宋体" w:eastAsia="方正仿宋_GBK"/>
        </w:rPr>
      </w:pPr>
    </w:p>
    <w:p>
      <w:pPr>
        <w:tabs>
          <w:tab w:val="left" w:pos="6300"/>
        </w:tabs>
        <w:snapToGrid w:val="0"/>
        <w:spacing w:line="500" w:lineRule="exact"/>
        <w:ind w:firstLine="2415" w:firstLineChars="1150"/>
        <w:rPr>
          <w:rFonts w:ascii="方正仿宋_GBK" w:hAnsi="宋体" w:eastAsia="方正仿宋_GBK"/>
        </w:rPr>
      </w:pPr>
    </w:p>
    <w:p>
      <w:pPr>
        <w:tabs>
          <w:tab w:val="left" w:pos="6300"/>
        </w:tabs>
        <w:snapToGrid w:val="0"/>
        <w:spacing w:line="500" w:lineRule="exact"/>
        <w:ind w:firstLine="2415" w:firstLineChars="1150"/>
        <w:rPr>
          <w:rFonts w:ascii="方正仿宋_GBK" w:hAnsi="宋体" w:eastAsia="方正仿宋_GBK"/>
          <w:sz w:val="24"/>
        </w:rPr>
      </w:pPr>
      <w:r>
        <w:rPr>
          <w:rFonts w:hint="eastAsia" w:ascii="方正仿宋_GBK" w:hAnsi="宋体" w:eastAsia="方正仿宋_GBK"/>
        </w:rPr>
        <w:t>（六）书面声明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420" w:firstLineChars="200"/>
        <w:rPr>
          <w:rFonts w:ascii="方正仿宋_GBK" w:hAnsi="宋体" w:eastAsia="方正仿宋_GBK"/>
        </w:rPr>
      </w:pPr>
      <w:r>
        <w:rPr>
          <w:rFonts w:ascii="宋体" w:hAnsi="宋体"/>
        </w:rPr>
        <w:br w:type="page"/>
      </w:r>
      <w:r>
        <w:rPr>
          <w:rFonts w:hint="eastAsia" w:ascii="方正仿宋_GBK" w:hAnsi="宋体" w:eastAsia="方正仿宋_GBK"/>
        </w:rPr>
        <w:t>（七）税务登记证（副本）复印件和社会保险缴纳证明材料</w:t>
      </w:r>
    </w:p>
    <w:p>
      <w:pPr>
        <w:tabs>
          <w:tab w:val="left" w:pos="6300"/>
        </w:tabs>
        <w:snapToGrid w:val="0"/>
        <w:spacing w:line="500" w:lineRule="exact"/>
        <w:ind w:firstLine="420" w:firstLineChars="200"/>
        <w:rPr>
          <w:rFonts w:ascii="方正仿宋_GBK" w:hAnsi="宋体" w:eastAsia="方正仿宋_GBK"/>
        </w:rPr>
      </w:pPr>
      <w:r>
        <w:rPr>
          <w:rFonts w:hint="eastAsia" w:ascii="方正仿宋_GBK" w:hAnsi="宋体" w:eastAsia="方正仿宋_GBK"/>
        </w:rPr>
        <w:t>（八）特定资格条件证书或证明文件</w:t>
      </w:r>
    </w:p>
    <w:p>
      <w:pPr>
        <w:tabs>
          <w:tab w:val="left" w:pos="6300"/>
        </w:tabs>
        <w:snapToGrid w:val="0"/>
        <w:spacing w:line="500" w:lineRule="exact"/>
        <w:ind w:firstLine="420" w:firstLineChars="200"/>
        <w:rPr>
          <w:rFonts w:ascii="方正仿宋_GBK" w:hAnsi="宋体" w:eastAsia="方正仿宋_GBK"/>
          <w:szCs w:val="28"/>
        </w:rPr>
      </w:pPr>
      <w:r>
        <w:rPr>
          <w:rFonts w:hint="eastAsia" w:ascii="方正仿宋_GBK" w:hAnsi="宋体" w:eastAsia="方正仿宋_GBK"/>
        </w:rPr>
        <w:t>（九）</w:t>
      </w:r>
      <w:r>
        <w:rPr>
          <w:rFonts w:hint="eastAsia" w:ascii="方正仿宋_GBK" w:hAnsi="宋体" w:eastAsia="方正仿宋_GBK"/>
          <w:szCs w:val="28"/>
        </w:rPr>
        <w:t>信用中国网站及中国政府采购网查询结果（查询时间为本项目采购公告发布之日起至提交响应文件截止时间前）</w:t>
      </w:r>
    </w:p>
    <w:p>
      <w:pPr>
        <w:tabs>
          <w:tab w:val="left" w:pos="6300"/>
        </w:tabs>
        <w:snapToGrid w:val="0"/>
        <w:spacing w:line="500" w:lineRule="exact"/>
        <w:ind w:firstLine="420" w:firstLineChars="200"/>
        <w:rPr>
          <w:rFonts w:ascii="方正仿宋_GBK" w:hAnsi="宋体" w:eastAsia="方正仿宋_GBK"/>
          <w:szCs w:val="28"/>
        </w:rPr>
      </w:pPr>
      <w:r>
        <w:rPr>
          <w:rFonts w:hint="eastAsia" w:ascii="方正仿宋_GBK" w:hAnsi="宋体" w:eastAsia="方正仿宋_GBK"/>
          <w:szCs w:val="28"/>
        </w:rPr>
        <w:t>1. 信用中国网站（</w:t>
      </w:r>
      <w:r>
        <w:fldChar w:fldCharType="begin"/>
      </w:r>
      <w:r>
        <w:instrText xml:space="preserve"> HYPERLINK "http://www.creditchina.gov.cn" </w:instrText>
      </w:r>
      <w:r>
        <w:fldChar w:fldCharType="separate"/>
      </w:r>
      <w:r>
        <w:rPr>
          <w:rStyle w:val="64"/>
          <w:rFonts w:hint="eastAsia" w:ascii="方正仿宋_GBK" w:hAnsi="宋体" w:eastAsia="方正仿宋_GBK"/>
          <w:szCs w:val="28"/>
        </w:rPr>
        <w:t>www.creditchina.gov.cn</w:t>
      </w:r>
      <w:r>
        <w:rPr>
          <w:rStyle w:val="64"/>
          <w:rFonts w:hint="eastAsia" w:ascii="方正仿宋_GBK" w:hAnsi="宋体" w:eastAsia="方正仿宋_GBK"/>
          <w:szCs w:val="28"/>
        </w:rPr>
        <w:fldChar w:fldCharType="end"/>
      </w:r>
      <w:r>
        <w:rPr>
          <w:rFonts w:hint="eastAsia" w:ascii="方正仿宋_GBK" w:hAnsi="宋体" w:eastAsia="方正仿宋_GBK"/>
          <w:szCs w:val="28"/>
        </w:rPr>
        <w:t>）查询结果（提供查询结果网页打印件并加盖供应商公章）</w:t>
      </w:r>
    </w:p>
    <w:p>
      <w:pPr>
        <w:tabs>
          <w:tab w:val="left" w:pos="6300"/>
        </w:tabs>
        <w:snapToGrid w:val="0"/>
        <w:spacing w:line="500" w:lineRule="exact"/>
        <w:ind w:firstLine="420" w:firstLineChars="200"/>
        <w:rPr>
          <w:rFonts w:ascii="方正仿宋_GBK" w:hAnsi="宋体" w:eastAsia="方正仿宋_GBK"/>
          <w:szCs w:val="28"/>
        </w:rPr>
      </w:pPr>
      <w:r>
        <w:rPr>
          <w:rFonts w:hint="eastAsia" w:ascii="方正仿宋_GBK" w:hAnsi="宋体" w:eastAsia="方正仿宋_GBK"/>
          <w:szCs w:val="28"/>
        </w:rPr>
        <w:t>1.1“信用信息”查询结果；</w:t>
      </w:r>
    </w:p>
    <w:p>
      <w:pPr>
        <w:tabs>
          <w:tab w:val="left" w:pos="6300"/>
        </w:tabs>
        <w:snapToGrid w:val="0"/>
        <w:spacing w:line="500" w:lineRule="exact"/>
        <w:ind w:firstLine="420" w:firstLineChars="200"/>
        <w:rPr>
          <w:rFonts w:ascii="方正仿宋_GBK" w:hAnsi="宋体" w:eastAsia="方正仿宋_GBK"/>
          <w:szCs w:val="28"/>
        </w:rPr>
      </w:pPr>
      <w:r>
        <w:rPr>
          <w:rFonts w:hint="eastAsia" w:ascii="方正仿宋_GBK" w:hAnsi="宋体" w:eastAsia="方正仿宋_GBK"/>
          <w:szCs w:val="28"/>
        </w:rPr>
        <w:t>1.2“失信被执行人”查询结果；</w:t>
      </w:r>
    </w:p>
    <w:p>
      <w:pPr>
        <w:tabs>
          <w:tab w:val="left" w:pos="6300"/>
        </w:tabs>
        <w:snapToGrid w:val="0"/>
        <w:spacing w:line="500" w:lineRule="exact"/>
        <w:ind w:firstLine="420" w:firstLineChars="200"/>
        <w:rPr>
          <w:rFonts w:ascii="方正仿宋_GBK" w:hAnsi="宋体" w:eastAsia="方正仿宋_GBK"/>
          <w:szCs w:val="28"/>
        </w:rPr>
      </w:pPr>
      <w:r>
        <w:rPr>
          <w:rFonts w:hint="eastAsia" w:ascii="方正仿宋_GBK" w:hAnsi="宋体" w:eastAsia="方正仿宋_GBK"/>
          <w:szCs w:val="28"/>
        </w:rPr>
        <w:t>1.3“重大税收违法案件当事人名单”查询结果；</w:t>
      </w:r>
    </w:p>
    <w:p>
      <w:pPr>
        <w:tabs>
          <w:tab w:val="left" w:pos="6300"/>
        </w:tabs>
        <w:snapToGrid w:val="0"/>
        <w:spacing w:line="500" w:lineRule="exact"/>
        <w:ind w:firstLine="420" w:firstLineChars="200"/>
        <w:rPr>
          <w:rFonts w:ascii="方正仿宋_GBK" w:hAnsi="宋体" w:eastAsia="方正仿宋_GBK"/>
          <w:szCs w:val="28"/>
        </w:rPr>
      </w:pPr>
      <w:r>
        <w:rPr>
          <w:rFonts w:hint="eastAsia" w:ascii="方正仿宋_GBK" w:hAnsi="宋体" w:eastAsia="方正仿宋_GBK"/>
          <w:szCs w:val="28"/>
        </w:rPr>
        <w:t>1.4“政府行政许可与行政处罚”查询结果。</w:t>
      </w:r>
    </w:p>
    <w:p>
      <w:pPr>
        <w:tabs>
          <w:tab w:val="left" w:pos="6300"/>
        </w:tabs>
        <w:snapToGrid w:val="0"/>
        <w:spacing w:line="500" w:lineRule="exact"/>
        <w:ind w:firstLine="420" w:firstLineChars="200"/>
        <w:rPr>
          <w:rFonts w:ascii="方正仿宋_GBK" w:hAnsi="宋体" w:eastAsia="方正仿宋_GBK"/>
          <w:szCs w:val="28"/>
        </w:rPr>
      </w:pPr>
      <w:r>
        <w:rPr>
          <w:rFonts w:hint="eastAsia" w:ascii="方正仿宋_GBK" w:hAnsi="宋体" w:eastAsia="方正仿宋_GBK"/>
          <w:szCs w:val="28"/>
        </w:rPr>
        <w:t>2. 中国政府采购网（</w:t>
      </w:r>
      <w:r>
        <w:fldChar w:fldCharType="begin"/>
      </w:r>
      <w:r>
        <w:instrText xml:space="preserve"> HYPERLINK "http://www.ccgp.gov.cn" </w:instrText>
      </w:r>
      <w:r>
        <w:fldChar w:fldCharType="separate"/>
      </w:r>
      <w:r>
        <w:rPr>
          <w:rStyle w:val="64"/>
          <w:rFonts w:hint="eastAsia" w:ascii="方正仿宋_GBK" w:hAnsi="宋体" w:eastAsia="方正仿宋_GBK"/>
          <w:szCs w:val="28"/>
        </w:rPr>
        <w:t>www.ccgp.gov.cn</w:t>
      </w:r>
      <w:r>
        <w:rPr>
          <w:rStyle w:val="64"/>
          <w:rFonts w:hint="eastAsia" w:ascii="方正仿宋_GBK" w:hAnsi="宋体" w:eastAsia="方正仿宋_GBK"/>
          <w:szCs w:val="28"/>
        </w:rPr>
        <w:fldChar w:fldCharType="end"/>
      </w:r>
      <w:r>
        <w:rPr>
          <w:rFonts w:hint="eastAsia" w:ascii="方正仿宋_GBK" w:hAnsi="宋体" w:eastAsia="方正仿宋_GBK"/>
          <w:szCs w:val="28"/>
        </w:rPr>
        <w:t>）（提供查询结果网页打印件并加盖供应商公章）</w:t>
      </w:r>
    </w:p>
    <w:p>
      <w:pPr>
        <w:tabs>
          <w:tab w:val="left" w:pos="6300"/>
        </w:tabs>
        <w:snapToGrid w:val="0"/>
        <w:spacing w:line="500" w:lineRule="exact"/>
        <w:ind w:firstLine="420" w:firstLineChars="200"/>
        <w:rPr>
          <w:rFonts w:ascii="方正仿宋_GBK" w:hAnsi="宋体" w:eastAsia="方正仿宋_GBK"/>
          <w:szCs w:val="28"/>
        </w:rPr>
      </w:pPr>
      <w:r>
        <w:rPr>
          <w:rFonts w:hint="eastAsia" w:ascii="方正仿宋_GBK" w:hAnsi="宋体" w:eastAsia="方正仿宋_GBK"/>
          <w:szCs w:val="28"/>
        </w:rPr>
        <w:t>“政府采购严重违法失信行为记录名单”查询结果。</w:t>
      </w:r>
    </w:p>
    <w:p>
      <w:pPr>
        <w:tabs>
          <w:tab w:val="left" w:pos="6300"/>
        </w:tabs>
        <w:snapToGrid w:val="0"/>
        <w:spacing w:line="500" w:lineRule="exact"/>
        <w:ind w:firstLine="420" w:firstLineChars="200"/>
        <w:rPr>
          <w:rFonts w:ascii="方正仿宋_GBK" w:hAnsi="宋体" w:eastAsia="方正仿宋_GBK"/>
          <w:szCs w:val="28"/>
        </w:rPr>
      </w:pPr>
    </w:p>
    <w:p>
      <w:pPr>
        <w:tabs>
          <w:tab w:val="left" w:pos="6300"/>
        </w:tabs>
        <w:snapToGrid w:val="0"/>
        <w:spacing w:line="360" w:lineRule="auto"/>
        <w:ind w:firstLine="420" w:firstLineChars="200"/>
        <w:rPr>
          <w:rFonts w:ascii="方正仿宋_GBK" w:hAnsi="宋体" w:eastAsia="方正仿宋_GBK"/>
        </w:rPr>
      </w:pPr>
      <w:r>
        <w:rPr>
          <w:rFonts w:hint="eastAsia" w:ascii="方正仿宋_GBK" w:hAnsi="宋体" w:eastAsia="方正仿宋_GBK"/>
        </w:rPr>
        <w:t>说明：供应商按“三证合一”登记制度办理营业执照的，组织机构代码证和税务登记证以供应商所提供的营业执照（副本）复印件为准。</w:t>
      </w:r>
    </w:p>
    <w:p>
      <w:pPr>
        <w:tabs>
          <w:tab w:val="left" w:pos="6300"/>
        </w:tabs>
        <w:snapToGrid w:val="0"/>
        <w:spacing w:line="360" w:lineRule="auto"/>
        <w:ind w:firstLine="420" w:firstLineChars="200"/>
        <w:rPr>
          <w:rFonts w:ascii="方正仿宋_GBK" w:hAnsi="宋体" w:eastAsia="方正仿宋_GBK"/>
        </w:rPr>
      </w:pPr>
    </w:p>
    <w:p>
      <w:pPr>
        <w:tabs>
          <w:tab w:val="left" w:pos="6300"/>
        </w:tabs>
        <w:snapToGrid w:val="0"/>
        <w:spacing w:line="360" w:lineRule="auto"/>
        <w:ind w:firstLine="420" w:firstLineChars="200"/>
        <w:rPr>
          <w:rFonts w:ascii="方正仿宋_GBK" w:hAnsi="宋体" w:eastAsia="方正仿宋_GBK"/>
        </w:rPr>
      </w:pPr>
    </w:p>
    <w:p>
      <w:pPr>
        <w:tabs>
          <w:tab w:val="left" w:pos="6300"/>
        </w:tabs>
        <w:snapToGrid w:val="0"/>
        <w:spacing w:line="360" w:lineRule="auto"/>
        <w:ind w:firstLine="420" w:firstLineChars="200"/>
        <w:rPr>
          <w:rFonts w:ascii="方正仿宋_GBK" w:hAnsi="宋体" w:eastAsia="方正仿宋_GBK"/>
        </w:rPr>
      </w:pPr>
    </w:p>
    <w:p>
      <w:pPr>
        <w:tabs>
          <w:tab w:val="left" w:pos="6300"/>
        </w:tabs>
        <w:snapToGrid w:val="0"/>
        <w:spacing w:line="360" w:lineRule="auto"/>
        <w:ind w:firstLine="420" w:firstLineChars="200"/>
        <w:rPr>
          <w:rFonts w:ascii="方正仿宋_GBK" w:hAnsi="宋体" w:eastAsia="方正仿宋_GBK"/>
        </w:rPr>
      </w:pPr>
    </w:p>
    <w:p>
      <w:pPr>
        <w:tabs>
          <w:tab w:val="left" w:pos="6300"/>
        </w:tabs>
        <w:snapToGrid w:val="0"/>
        <w:spacing w:line="360" w:lineRule="auto"/>
        <w:ind w:firstLine="420" w:firstLineChars="200"/>
        <w:rPr>
          <w:rFonts w:ascii="方正仿宋_GBK" w:hAnsi="宋体" w:eastAsia="方正仿宋_GBK"/>
        </w:rPr>
      </w:pPr>
    </w:p>
    <w:p>
      <w:pPr>
        <w:tabs>
          <w:tab w:val="left" w:pos="6300"/>
        </w:tabs>
        <w:snapToGrid w:val="0"/>
        <w:spacing w:line="360" w:lineRule="auto"/>
        <w:ind w:firstLine="420" w:firstLineChars="200"/>
        <w:rPr>
          <w:rFonts w:ascii="方正仿宋_GBK" w:hAnsi="宋体" w:eastAsia="方正仿宋_GBK"/>
        </w:rPr>
      </w:pPr>
    </w:p>
    <w:p>
      <w:pPr>
        <w:tabs>
          <w:tab w:val="left" w:pos="6300"/>
        </w:tabs>
        <w:snapToGrid w:val="0"/>
        <w:spacing w:line="360" w:lineRule="auto"/>
        <w:ind w:firstLine="420" w:firstLineChars="200"/>
        <w:rPr>
          <w:rFonts w:ascii="方正仿宋_GBK" w:hAnsi="宋体" w:eastAsia="方正仿宋_GBK"/>
        </w:rPr>
      </w:pPr>
    </w:p>
    <w:p>
      <w:pPr>
        <w:tabs>
          <w:tab w:val="left" w:pos="6300"/>
        </w:tabs>
        <w:snapToGrid w:val="0"/>
        <w:spacing w:line="360" w:lineRule="auto"/>
        <w:ind w:firstLine="420" w:firstLineChars="200"/>
        <w:rPr>
          <w:rFonts w:ascii="方正仿宋_GBK" w:hAnsi="宋体" w:eastAsia="方正仿宋_GBK"/>
        </w:rPr>
      </w:pPr>
    </w:p>
    <w:p>
      <w:pPr>
        <w:tabs>
          <w:tab w:val="left" w:pos="6300"/>
        </w:tabs>
        <w:snapToGrid w:val="0"/>
        <w:spacing w:line="360" w:lineRule="auto"/>
        <w:ind w:firstLine="420" w:firstLineChars="200"/>
        <w:rPr>
          <w:rFonts w:ascii="方正仿宋_GBK" w:hAnsi="宋体" w:eastAsia="方正仿宋_GBK"/>
        </w:rPr>
      </w:pPr>
    </w:p>
    <w:p>
      <w:pPr>
        <w:tabs>
          <w:tab w:val="left" w:pos="6300"/>
        </w:tabs>
        <w:snapToGrid w:val="0"/>
        <w:spacing w:line="360" w:lineRule="auto"/>
        <w:ind w:firstLine="420" w:firstLineChars="200"/>
        <w:rPr>
          <w:rFonts w:ascii="方正仿宋_GBK" w:hAnsi="宋体" w:eastAsia="方正仿宋_GBK"/>
        </w:rPr>
      </w:pPr>
    </w:p>
    <w:p>
      <w:pPr>
        <w:tabs>
          <w:tab w:val="left" w:pos="6300"/>
        </w:tabs>
        <w:snapToGrid w:val="0"/>
        <w:spacing w:line="360" w:lineRule="auto"/>
        <w:ind w:firstLine="420" w:firstLineChars="200"/>
        <w:rPr>
          <w:rFonts w:ascii="方正仿宋_GBK" w:hAnsi="宋体" w:eastAsia="方正仿宋_GBK"/>
        </w:rPr>
      </w:pPr>
    </w:p>
    <w:p>
      <w:pPr>
        <w:tabs>
          <w:tab w:val="left" w:pos="6300"/>
        </w:tabs>
        <w:snapToGrid w:val="0"/>
        <w:spacing w:line="360" w:lineRule="auto"/>
        <w:rPr>
          <w:rFonts w:ascii="方正仿宋_GBK" w:hAnsi="宋体" w:eastAsia="方正仿宋_GBK"/>
        </w:rPr>
      </w:pPr>
    </w:p>
    <w:p>
      <w:pPr>
        <w:pStyle w:val="4"/>
        <w:spacing w:before="0" w:after="0" w:line="360" w:lineRule="auto"/>
        <w:rPr>
          <w:rFonts w:ascii="方正仿宋_GBK" w:hAnsi="宋体" w:eastAsia="方正仿宋_GBK"/>
          <w:sz w:val="24"/>
          <w:szCs w:val="24"/>
        </w:rPr>
      </w:pPr>
      <w:bookmarkStart w:id="73" w:name="_Toc475106753"/>
      <w:bookmarkStart w:id="74" w:name="_Toc518028926"/>
    </w:p>
    <w:p>
      <w:pPr>
        <w:pStyle w:val="4"/>
        <w:spacing w:before="0" w:after="0" w:line="360" w:lineRule="auto"/>
        <w:rPr>
          <w:rFonts w:ascii="方正仿宋_GBK" w:hAnsi="宋体" w:eastAsia="方正仿宋_GBK"/>
          <w:sz w:val="24"/>
          <w:szCs w:val="24"/>
        </w:rPr>
      </w:pPr>
    </w:p>
    <w:bookmarkEnd w:id="73"/>
    <w:bookmarkEnd w:id="74"/>
    <w:p>
      <w:pPr>
        <w:jc w:val="left"/>
        <w:rPr>
          <w:rFonts w:ascii="方正仿宋_GBK" w:hAnsi="宋体" w:eastAsia="方正仿宋_GBK"/>
          <w:b/>
          <w:sz w:val="28"/>
          <w:szCs w:val="28"/>
        </w:rPr>
      </w:pPr>
      <w:bookmarkStart w:id="75" w:name="_Toc29543195"/>
    </w:p>
    <w:p>
      <w:pPr>
        <w:jc w:val="left"/>
        <w:rPr>
          <w:rFonts w:ascii="方正仿宋_GBK" w:eastAsia="方正仿宋_GBK"/>
          <w:b/>
          <w:sz w:val="28"/>
          <w:szCs w:val="28"/>
        </w:rPr>
      </w:pPr>
      <w:r>
        <w:rPr>
          <w:rFonts w:hint="eastAsia" w:ascii="方正仿宋_GBK" w:hAnsi="宋体" w:eastAsia="方正仿宋_GBK"/>
          <w:b/>
          <w:sz w:val="28"/>
          <w:szCs w:val="28"/>
        </w:rPr>
        <w:t>五、</w:t>
      </w:r>
      <w:r>
        <w:rPr>
          <w:rFonts w:hint="eastAsia" w:ascii="方正仿宋_GBK" w:eastAsia="方正仿宋_GBK"/>
          <w:b/>
          <w:sz w:val="28"/>
          <w:szCs w:val="28"/>
        </w:rPr>
        <w:t>其他应提供的资料</w:t>
      </w:r>
      <w:bookmarkEnd w:id="75"/>
    </w:p>
    <w:p>
      <w:pPr>
        <w:jc w:val="left"/>
        <w:rPr>
          <w:rFonts w:ascii="方正仿宋_GBK" w:hAnsi="宋体" w:eastAsia="方正仿宋_GBK"/>
          <w:sz w:val="28"/>
          <w:szCs w:val="28"/>
        </w:rPr>
      </w:pPr>
      <w:r>
        <w:rPr>
          <w:rFonts w:hint="eastAsia" w:ascii="方正仿宋_GBK" w:hAnsi="宋体" w:eastAsia="方正仿宋_GBK"/>
          <w:sz w:val="28"/>
          <w:szCs w:val="28"/>
        </w:rPr>
        <w:t>（一）反商业贿赂承诺书</w:t>
      </w:r>
    </w:p>
    <w:p>
      <w:pPr>
        <w:spacing w:line="56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反商业贿赂承诺书</w:t>
      </w:r>
    </w:p>
    <w:p>
      <w:pPr>
        <w:spacing w:line="560" w:lineRule="exact"/>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致重庆市江北区中医院：</w:t>
      </w:r>
    </w:p>
    <w:p>
      <w:pPr>
        <w:spacing w:line="56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在重庆市江北区中医院（项目名称）磋商活动中，我公司保证做到：</w:t>
      </w:r>
    </w:p>
    <w:p>
      <w:pPr>
        <w:spacing w:line="560" w:lineRule="exact"/>
        <w:ind w:firstLine="560" w:firstLineChars="200"/>
        <w:jc w:val="left"/>
        <w:rPr>
          <w:rFonts w:ascii="方正仿宋_GBK" w:hAnsi="宋体" w:eastAsia="方正仿宋_GBK"/>
          <w:color w:val="000000"/>
          <w:sz w:val="28"/>
          <w:szCs w:val="28"/>
        </w:rPr>
      </w:pPr>
      <w:r>
        <w:rPr>
          <w:rFonts w:ascii="方正仿宋_GBK" w:hAnsi="宋体" w:eastAsia="方正仿宋_GBK"/>
          <w:color w:val="000000"/>
          <w:sz w:val="28"/>
          <w:szCs w:val="28"/>
        </w:rPr>
        <w:t>1</w:t>
      </w:r>
      <w:r>
        <w:rPr>
          <w:rFonts w:hint="eastAsia" w:ascii="方正仿宋_GBK" w:hAnsi="宋体" w:eastAsia="方正仿宋_GBK"/>
          <w:color w:val="000000"/>
          <w:sz w:val="28"/>
          <w:szCs w:val="28"/>
        </w:rPr>
        <w:t>、公平竞争参加本次磋商活动；</w:t>
      </w:r>
    </w:p>
    <w:p>
      <w:pPr>
        <w:spacing w:line="560" w:lineRule="exact"/>
        <w:ind w:firstLine="560" w:firstLineChars="200"/>
        <w:jc w:val="left"/>
        <w:rPr>
          <w:rFonts w:ascii="方正仿宋_GBK" w:hAnsi="宋体" w:eastAsia="方正仿宋_GBK"/>
          <w:color w:val="000000"/>
          <w:sz w:val="28"/>
          <w:szCs w:val="28"/>
        </w:rPr>
      </w:pPr>
      <w:r>
        <w:rPr>
          <w:rFonts w:ascii="方正仿宋_GBK" w:hAnsi="宋体" w:eastAsia="方正仿宋_GBK"/>
          <w:color w:val="000000"/>
          <w:sz w:val="28"/>
          <w:szCs w:val="28"/>
        </w:rPr>
        <w:t>2</w:t>
      </w:r>
      <w:r>
        <w:rPr>
          <w:rFonts w:hint="eastAsia" w:ascii="方正仿宋_GBK" w:hAnsi="宋体" w:eastAsia="方正仿宋_GBK"/>
          <w:color w:val="000000"/>
          <w:sz w:val="28"/>
          <w:szCs w:val="28"/>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60" w:lineRule="exact"/>
        <w:ind w:firstLine="560" w:firstLineChars="200"/>
        <w:jc w:val="left"/>
        <w:rPr>
          <w:rFonts w:ascii="方正仿宋_GBK" w:hAnsi="宋体" w:eastAsia="方正仿宋_GBK"/>
          <w:color w:val="000000"/>
          <w:sz w:val="28"/>
          <w:szCs w:val="28"/>
        </w:rPr>
      </w:pPr>
      <w:r>
        <w:rPr>
          <w:rFonts w:ascii="方正仿宋_GBK" w:hAnsi="宋体" w:eastAsia="方正仿宋_GBK"/>
          <w:color w:val="000000"/>
          <w:sz w:val="28"/>
          <w:szCs w:val="28"/>
        </w:rPr>
        <w:t>3</w:t>
      </w:r>
      <w:r>
        <w:rPr>
          <w:rFonts w:hint="eastAsia" w:ascii="方正仿宋_GBK" w:hAnsi="宋体" w:eastAsia="方正仿宋_GBK"/>
          <w:color w:val="000000"/>
          <w:sz w:val="28"/>
          <w:szCs w:val="28"/>
        </w:rPr>
        <w:t>、如出现以下行为，我公司及参与投标的工作人员无条件接受院方及法律的处置：</w:t>
      </w:r>
    </w:p>
    <w:p>
      <w:pPr>
        <w:spacing w:line="56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⑴供应商代表未出席投标会或开标时被三次提名而无供应商代表应答的（自动弃权）；</w:t>
      </w:r>
    </w:p>
    <w:p>
      <w:pPr>
        <w:spacing w:line="56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⑵递交的响应文件和资质文件中有虚假内容的；</w:t>
      </w:r>
    </w:p>
    <w:p>
      <w:pPr>
        <w:spacing w:line="56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⑶违反相关法律法规及院方关于反商业贿赂规定的；</w:t>
      </w:r>
    </w:p>
    <w:p>
      <w:pPr>
        <w:spacing w:line="56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⑷投标报价低于实际成本价的；</w:t>
      </w:r>
    </w:p>
    <w:p>
      <w:pPr>
        <w:spacing w:line="56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⑸中标后未在规定期限内签订中标合同的；</w:t>
      </w:r>
    </w:p>
    <w:p>
      <w:pPr>
        <w:spacing w:line="560" w:lineRule="exact"/>
        <w:jc w:val="left"/>
        <w:rPr>
          <w:rFonts w:ascii="方正仿宋_GBK" w:hAnsi="宋体" w:eastAsia="方正仿宋_GBK"/>
          <w:color w:val="000000"/>
          <w:sz w:val="28"/>
          <w:szCs w:val="28"/>
        </w:rPr>
      </w:pPr>
    </w:p>
    <w:p>
      <w:pPr>
        <w:spacing w:line="560" w:lineRule="exact"/>
        <w:ind w:firstLine="1260" w:firstLineChars="45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公司法人代表（公章）：</w:t>
      </w:r>
    </w:p>
    <w:p>
      <w:pPr>
        <w:spacing w:line="560" w:lineRule="exact"/>
        <w:ind w:firstLine="1260" w:firstLineChars="45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授权代表：</w:t>
      </w:r>
    </w:p>
    <w:p>
      <w:pPr>
        <w:spacing w:line="560" w:lineRule="exact"/>
        <w:ind w:firstLine="4340" w:firstLineChars="155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年    月    日</w:t>
      </w:r>
    </w:p>
    <w:p>
      <w:pPr>
        <w:spacing w:line="560" w:lineRule="exact"/>
        <w:ind w:firstLine="4340" w:firstLineChars="1550"/>
        <w:jc w:val="left"/>
        <w:rPr>
          <w:rFonts w:ascii="方正仿宋_GBK" w:hAnsi="宋体" w:eastAsia="方正仿宋_GBK"/>
          <w:color w:val="000000"/>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p>
    <w:p>
      <w:pPr>
        <w:spacing w:line="560" w:lineRule="exact"/>
        <w:rPr>
          <w:rFonts w:ascii="方正仿宋_GBK" w:hAnsi="宋体" w:eastAsia="方正仿宋_GBK"/>
          <w:sz w:val="28"/>
          <w:szCs w:val="28"/>
        </w:rPr>
      </w:pPr>
      <w:r>
        <w:rPr>
          <w:rFonts w:hint="eastAsia" w:ascii="方正仿宋_GBK" w:hAnsi="宋体" w:eastAsia="方正仿宋_GBK"/>
          <w:sz w:val="28"/>
          <w:szCs w:val="28"/>
        </w:rPr>
        <w:t>（二）产品质量及售后服务保证书</w:t>
      </w:r>
    </w:p>
    <w:p>
      <w:pPr>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产品质量及售后服务保证书</w:t>
      </w:r>
    </w:p>
    <w:p>
      <w:pPr>
        <w:spacing w:line="580" w:lineRule="exact"/>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致重庆市江北区中医院：</w:t>
      </w:r>
    </w:p>
    <w:p>
      <w:pPr>
        <w:spacing w:line="580" w:lineRule="exact"/>
        <w:ind w:firstLine="560" w:firstLineChars="2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郑重承诺：我方参加（项目名称）招标活动，中标后所配送产品符合国家相关质量标准，所有产品的相关资质齐全有效。若使用中发现质量问题，我方负责免费更换产品，由此带来的经济损失和法律责任由我方全部负责。</w:t>
      </w:r>
    </w:p>
    <w:p>
      <w:pPr>
        <w:jc w:val="left"/>
        <w:rPr>
          <w:rFonts w:ascii="方正仿宋_GBK" w:hAnsi="宋体" w:eastAsia="方正仿宋_GBK"/>
          <w:color w:val="000000"/>
          <w:sz w:val="28"/>
          <w:szCs w:val="28"/>
        </w:rPr>
      </w:pPr>
    </w:p>
    <w:p>
      <w:pPr>
        <w:ind w:firstLine="1260" w:firstLineChars="45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公司法人代表（公章）：</w:t>
      </w:r>
    </w:p>
    <w:p>
      <w:pPr>
        <w:ind w:firstLine="1260" w:firstLineChars="45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授权代表：</w:t>
      </w:r>
    </w:p>
    <w:p>
      <w:pPr>
        <w:jc w:val="left"/>
        <w:rPr>
          <w:rFonts w:ascii="方正仿宋_GBK" w:hAnsi="宋体" w:eastAsia="方正仿宋_GBK"/>
          <w:color w:val="000000"/>
          <w:sz w:val="28"/>
          <w:szCs w:val="28"/>
        </w:rPr>
      </w:pPr>
    </w:p>
    <w:p>
      <w:pPr>
        <w:jc w:val="left"/>
        <w:rPr>
          <w:rFonts w:ascii="方正仿宋_GBK" w:hAnsi="宋体" w:eastAsia="方正仿宋_GBK"/>
          <w:color w:val="000000"/>
          <w:sz w:val="28"/>
          <w:szCs w:val="28"/>
        </w:rPr>
      </w:pPr>
    </w:p>
    <w:p>
      <w:pPr>
        <w:jc w:val="left"/>
        <w:rPr>
          <w:rFonts w:ascii="方正仿宋_GBK" w:hAnsi="宋体" w:eastAsia="方正仿宋_GBK"/>
          <w:color w:val="000000"/>
          <w:sz w:val="28"/>
          <w:szCs w:val="28"/>
        </w:rPr>
      </w:pPr>
    </w:p>
    <w:p>
      <w:pPr>
        <w:ind w:firstLine="4340" w:firstLineChars="155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年  月   日</w:t>
      </w:r>
    </w:p>
    <w:p>
      <w:pPr>
        <w:spacing w:line="560" w:lineRule="exact"/>
        <w:rPr>
          <w:rFonts w:ascii="方正仿宋_GBK" w:hAnsi="宋体" w:eastAsia="方正仿宋_GBK"/>
          <w:szCs w:val="28"/>
        </w:rPr>
      </w:pPr>
    </w:p>
    <w:p>
      <w:pPr>
        <w:spacing w:line="560" w:lineRule="exact"/>
        <w:ind w:firstLine="420" w:firstLineChars="200"/>
        <w:rPr>
          <w:rFonts w:ascii="方正仿宋_GBK" w:hAnsi="宋体" w:eastAsia="方正仿宋_GBK"/>
          <w:szCs w:val="28"/>
        </w:rPr>
      </w:pPr>
    </w:p>
    <w:p>
      <w:pPr>
        <w:spacing w:line="560" w:lineRule="exact"/>
        <w:ind w:firstLine="420" w:firstLineChars="200"/>
        <w:rPr>
          <w:rFonts w:ascii="方正仿宋_GBK" w:hAnsi="宋体" w:eastAsia="方正仿宋_GBK"/>
          <w:szCs w:val="28"/>
        </w:rPr>
      </w:pPr>
    </w:p>
    <w:p>
      <w:pPr>
        <w:spacing w:line="560" w:lineRule="exact"/>
        <w:ind w:firstLine="420" w:firstLineChars="200"/>
        <w:rPr>
          <w:rFonts w:ascii="方正仿宋_GBK" w:hAnsi="宋体" w:eastAsia="方正仿宋_GBK"/>
          <w:szCs w:val="28"/>
        </w:rPr>
      </w:pPr>
    </w:p>
    <w:p>
      <w:pPr>
        <w:spacing w:line="560" w:lineRule="exact"/>
        <w:ind w:firstLine="420" w:firstLineChars="200"/>
        <w:rPr>
          <w:rFonts w:ascii="方正仿宋_GBK" w:hAnsi="宋体" w:eastAsia="方正仿宋_GBK"/>
          <w:szCs w:val="28"/>
        </w:rPr>
      </w:pPr>
    </w:p>
    <w:p>
      <w:pPr>
        <w:spacing w:line="560" w:lineRule="exact"/>
        <w:ind w:firstLine="420" w:firstLineChars="200"/>
        <w:rPr>
          <w:rFonts w:ascii="方正仿宋_GBK" w:hAnsi="宋体" w:eastAsia="方正仿宋_GBK"/>
          <w:szCs w:val="28"/>
        </w:rPr>
      </w:pPr>
    </w:p>
    <w:p>
      <w:pPr>
        <w:spacing w:line="560" w:lineRule="exact"/>
        <w:ind w:firstLine="420" w:firstLineChars="200"/>
        <w:rPr>
          <w:rFonts w:ascii="方正仿宋_GBK" w:hAnsi="宋体" w:eastAsia="方正仿宋_GBK"/>
          <w:szCs w:val="28"/>
        </w:rPr>
      </w:pPr>
    </w:p>
    <w:p>
      <w:pPr>
        <w:spacing w:line="560" w:lineRule="exact"/>
        <w:ind w:firstLine="420" w:firstLineChars="200"/>
        <w:rPr>
          <w:rFonts w:ascii="方正仿宋_GBK" w:hAnsi="宋体" w:eastAsia="方正仿宋_GBK"/>
          <w:szCs w:val="28"/>
        </w:rPr>
      </w:pPr>
    </w:p>
    <w:p>
      <w:pPr>
        <w:spacing w:line="560" w:lineRule="exact"/>
        <w:ind w:firstLine="420" w:firstLineChars="200"/>
        <w:rPr>
          <w:rFonts w:ascii="方正仿宋_GBK" w:hAnsi="宋体" w:eastAsia="方正仿宋_GBK"/>
          <w:szCs w:val="28"/>
        </w:rPr>
      </w:pPr>
    </w:p>
    <w:p>
      <w:pPr>
        <w:spacing w:line="560" w:lineRule="exact"/>
        <w:ind w:firstLine="560" w:firstLineChars="200"/>
        <w:rPr>
          <w:rFonts w:ascii="方正仿宋_GBK" w:hAnsi="宋体" w:eastAsia="方正仿宋_GBK"/>
          <w:sz w:val="28"/>
          <w:szCs w:val="28"/>
        </w:rPr>
      </w:pPr>
    </w:p>
    <w:p>
      <w:pPr>
        <w:spacing w:line="560" w:lineRule="exact"/>
        <w:ind w:firstLine="560" w:firstLineChars="200"/>
        <w:rPr>
          <w:rFonts w:ascii="方正仿宋_GBK" w:hAnsi="宋体" w:eastAsia="方正仿宋_GBK"/>
          <w:sz w:val="28"/>
          <w:szCs w:val="28"/>
        </w:rPr>
      </w:pPr>
    </w:p>
    <w:p>
      <w:pPr>
        <w:spacing w:line="560" w:lineRule="exact"/>
        <w:ind w:firstLine="560" w:firstLineChars="200"/>
        <w:rPr>
          <w:rFonts w:ascii="方正仿宋_GBK" w:hAnsi="宋体" w:eastAsia="方正仿宋_GBK"/>
          <w:sz w:val="28"/>
          <w:szCs w:val="28"/>
        </w:rPr>
      </w:pPr>
    </w:p>
    <w:p>
      <w:pPr>
        <w:spacing w:line="560" w:lineRule="exact"/>
        <w:ind w:firstLine="560" w:firstLineChars="200"/>
        <w:rPr>
          <w:rFonts w:ascii="方正仿宋_GBK" w:hAnsi="宋体" w:eastAsia="方正仿宋_GBK"/>
          <w:sz w:val="28"/>
          <w:szCs w:val="28"/>
        </w:rPr>
      </w:pPr>
    </w:p>
    <w:p>
      <w:pPr>
        <w:spacing w:line="560" w:lineRule="exact"/>
        <w:ind w:firstLine="560" w:firstLineChars="200"/>
        <w:rPr>
          <w:rFonts w:ascii="方正仿宋_GBK" w:hAnsi="宋体" w:eastAsia="方正仿宋_GBK"/>
          <w:sz w:val="28"/>
          <w:szCs w:val="28"/>
        </w:rPr>
      </w:pPr>
    </w:p>
    <w:p>
      <w:pPr>
        <w:spacing w:line="560" w:lineRule="exact"/>
        <w:ind w:firstLine="560" w:firstLineChars="200"/>
        <w:rPr>
          <w:rFonts w:ascii="方正仿宋_GBK" w:hAnsi="宋体" w:eastAsia="方正仿宋_GBK"/>
          <w:sz w:val="28"/>
          <w:szCs w:val="28"/>
        </w:rPr>
      </w:pPr>
    </w:p>
    <w:p>
      <w:pPr>
        <w:spacing w:line="560" w:lineRule="exact"/>
        <w:ind w:firstLine="560" w:firstLineChars="200"/>
        <w:rPr>
          <w:rFonts w:ascii="方正仿宋_GBK" w:hAnsi="宋体" w:eastAsia="方正仿宋_GBK"/>
          <w:sz w:val="28"/>
          <w:szCs w:val="28"/>
        </w:rPr>
      </w:pPr>
    </w:p>
    <w:p>
      <w:pPr>
        <w:spacing w:line="560" w:lineRule="exact"/>
        <w:ind w:firstLine="560" w:firstLineChars="200"/>
        <w:rPr>
          <w:rFonts w:ascii="方正仿宋_GBK" w:hAnsi="宋体" w:eastAsia="方正仿宋_GBK"/>
          <w:sz w:val="28"/>
          <w:szCs w:val="28"/>
        </w:rPr>
      </w:pPr>
    </w:p>
    <w:p>
      <w:pPr>
        <w:spacing w:line="5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（三）供应商认为其他与项目有关的资料（自附）</w:t>
      </w:r>
    </w:p>
    <w:p>
      <w:pPr>
        <w:spacing w:line="560" w:lineRule="exact"/>
        <w:ind w:firstLine="420" w:firstLineChars="200"/>
        <w:rPr>
          <w:rFonts w:ascii="方正仿宋_GBK" w:hAnsi="宋体" w:eastAsia="方正仿宋_GBK"/>
          <w:b/>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宋体" w:eastAsia="方正仿宋_GBK"/>
          <w:szCs w:val="28"/>
        </w:rPr>
      </w:pPr>
    </w:p>
    <w:p>
      <w:pPr>
        <w:spacing w:line="560" w:lineRule="exact"/>
        <w:ind w:firstLine="420" w:firstLineChars="200"/>
        <w:jc w:val="center"/>
        <w:rPr>
          <w:rFonts w:ascii="方正仿宋_GBK" w:hAnsi="仿宋" w:eastAsia="方正仿宋_GBK"/>
          <w:szCs w:val="28"/>
        </w:rPr>
      </w:pPr>
      <w:r>
        <w:rPr>
          <w:rFonts w:hint="eastAsia" w:ascii="方正仿宋_GBK" w:hAnsi="仿宋" w:eastAsia="方正仿宋_GBK"/>
          <w:szCs w:val="28"/>
        </w:rPr>
        <w:t>（结束）</w:t>
      </w:r>
    </w:p>
    <w:p>
      <w:pPr>
        <w:snapToGrid w:val="0"/>
        <w:spacing w:line="560" w:lineRule="exact"/>
        <w:ind w:firstLine="420" w:firstLineChars="200"/>
        <w:rPr>
          <w:rFonts w:ascii="方正仿宋_GBK" w:hAnsi="宋体" w:eastAsia="方正仿宋_GBK"/>
          <w:color w:val="000000" w:themeColor="text1"/>
          <w:szCs w:val="28"/>
        </w:rPr>
        <w:sectPr>
          <w:pgSz w:w="11907" w:h="16840"/>
          <w:pgMar w:top="1134" w:right="1304" w:bottom="1134" w:left="1304" w:header="851" w:footer="992" w:gutter="0"/>
          <w:pgNumType w:fmt="numberInDash"/>
          <w:cols w:space="720" w:num="1"/>
          <w:docGrid w:linePitch="380" w:charSpace="-5735"/>
        </w:sectPr>
      </w:pPr>
    </w:p>
    <w:p>
      <w:pPr>
        <w:pStyle w:val="4"/>
        <w:spacing w:before="0" w:after="0" w:line="560" w:lineRule="exact"/>
        <w:rPr>
          <w:szCs w:val="21"/>
        </w:rPr>
      </w:pPr>
    </w:p>
    <w:sectPr>
      <w:headerReference r:id="rId7" w:type="default"/>
      <w:footerReference r:id="rId8" w:type="default"/>
      <w:footerReference r:id="rId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黑体"/>
    <w:panose1 w:val="00000000000000000000"/>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86182"/>
    </w:sdtPr>
    <w:sdtContent>
      <w:p>
        <w:pPr>
          <w:pStyle w:val="35"/>
          <w:jc w:val="center"/>
        </w:pPr>
        <w:r>
          <w:fldChar w:fldCharType="begin"/>
        </w:r>
        <w:r>
          <w:instrText xml:space="preserve"> PAGE   \* MERGEFORMAT </w:instrText>
        </w:r>
        <w:r>
          <w:fldChar w:fldCharType="separate"/>
        </w:r>
        <w:r>
          <w:rPr>
            <w:lang w:val="zh-CN"/>
          </w:rPr>
          <w:t>-</w:t>
        </w:r>
        <w:r>
          <w:t xml:space="preserve"> 2 -</w:t>
        </w:r>
        <w:r>
          <w:fldChar w:fldCharType="end"/>
        </w:r>
      </w:p>
    </w:sdtContent>
  </w:sdt>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- 16 -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rPr>
        <w:rStyle w:val="61"/>
      </w:rPr>
      <w:fldChar w:fldCharType="begin"/>
    </w:r>
    <w:r>
      <w:rPr>
        <w:rStyle w:val="61"/>
      </w:rPr>
      <w:instrText xml:space="preserve">PAGE  </w:instrText>
    </w:r>
    <w:r>
      <w:rPr>
        <w:rStyle w:val="61"/>
      </w:rPr>
      <w:fldChar w:fldCharType="separate"/>
    </w:r>
    <w:r>
      <w:rPr>
        <w:rStyle w:val="61"/>
      </w:rPr>
      <w:t>58</w:t>
    </w:r>
    <w:r>
      <w:rPr>
        <w:rStyle w:val="61"/>
      </w:rPr>
      <w:fldChar w:fldCharType="end"/>
    </w:r>
  </w:p>
  <w:p>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rPr>
        <w:rStyle w:val="61"/>
      </w:rPr>
      <w:fldChar w:fldCharType="begin"/>
    </w:r>
    <w:r>
      <w:rPr>
        <w:rStyle w:val="61"/>
      </w:rPr>
      <w:instrText xml:space="preserve">PAGE  </w:instrText>
    </w:r>
    <w:r>
      <w:rPr>
        <w:rStyle w:val="61"/>
      </w:rPr>
      <w:fldChar w:fldCharType="end"/>
    </w:r>
  </w:p>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江北区中医院竞争性磋商文件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Fonts w:hint="eastAsia"/>
      </w:rPr>
      <w:t>重庆市江北区中医院竞争性磋商文件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B2533"/>
    <w:multiLevelType w:val="singleLevel"/>
    <w:tmpl w:val="A48B2533"/>
    <w:lvl w:ilvl="0" w:tentative="0">
      <w:start w:val="1"/>
      <w:numFmt w:val="decimal"/>
      <w:lvlText w:val="%1."/>
      <w:lvlJc w:val="left"/>
      <w:pPr>
        <w:tabs>
          <w:tab w:val="left" w:pos="312"/>
        </w:tabs>
      </w:pPr>
    </w:lvl>
  </w:abstractNum>
  <w:abstractNum w:abstractNumId="1">
    <w:nsid w:val="C31F2DA3"/>
    <w:multiLevelType w:val="singleLevel"/>
    <w:tmpl w:val="C31F2DA3"/>
    <w:lvl w:ilvl="0" w:tentative="0">
      <w:start w:val="2"/>
      <w:numFmt w:val="decimal"/>
      <w:suff w:val="nothing"/>
      <w:lvlText w:val="（%1）"/>
      <w:lvlJc w:val="left"/>
    </w:lvl>
  </w:abstractNum>
  <w:abstractNum w:abstractNumId="2">
    <w:nsid w:val="30D87876"/>
    <w:multiLevelType w:val="singleLevel"/>
    <w:tmpl w:val="30D87876"/>
    <w:lvl w:ilvl="0" w:tentative="0">
      <w:start w:val="1"/>
      <w:numFmt w:val="decimal"/>
      <w:lvlText w:val="%1."/>
      <w:lvlJc w:val="left"/>
      <w:pPr>
        <w:tabs>
          <w:tab w:val="left" w:pos="312"/>
        </w:tabs>
      </w:pPr>
    </w:lvl>
  </w:abstractNum>
  <w:abstractNum w:abstractNumId="3">
    <w:nsid w:val="34AC6B95"/>
    <w:multiLevelType w:val="multilevel"/>
    <w:tmpl w:val="34AC6B95"/>
    <w:lvl w:ilvl="0" w:tentative="0">
      <w:start w:val="6"/>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FE7E5CE"/>
    <w:multiLevelType w:val="singleLevel"/>
    <w:tmpl w:val="5FE7E5CE"/>
    <w:lvl w:ilvl="0" w:tentative="0">
      <w:start w:val="3"/>
      <w:numFmt w:val="decimal"/>
      <w:suff w:val="nothing"/>
      <w:lvlText w:val="%1."/>
      <w:lvlJc w:val="left"/>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1315"/>
    <w:rsid w:val="00000FAB"/>
    <w:rsid w:val="00004BB2"/>
    <w:rsid w:val="000113C7"/>
    <w:rsid w:val="000137AB"/>
    <w:rsid w:val="0001422B"/>
    <w:rsid w:val="00015077"/>
    <w:rsid w:val="0001575C"/>
    <w:rsid w:val="000242B8"/>
    <w:rsid w:val="00032118"/>
    <w:rsid w:val="00033A40"/>
    <w:rsid w:val="00037369"/>
    <w:rsid w:val="0004031E"/>
    <w:rsid w:val="000431F2"/>
    <w:rsid w:val="000444AD"/>
    <w:rsid w:val="00047279"/>
    <w:rsid w:val="00050823"/>
    <w:rsid w:val="000559C3"/>
    <w:rsid w:val="00057763"/>
    <w:rsid w:val="00063247"/>
    <w:rsid w:val="00064EC2"/>
    <w:rsid w:val="00072FED"/>
    <w:rsid w:val="000738E5"/>
    <w:rsid w:val="00076438"/>
    <w:rsid w:val="000830A9"/>
    <w:rsid w:val="00091851"/>
    <w:rsid w:val="000918B1"/>
    <w:rsid w:val="00093879"/>
    <w:rsid w:val="0009469A"/>
    <w:rsid w:val="000A24EB"/>
    <w:rsid w:val="000B1315"/>
    <w:rsid w:val="000B40F3"/>
    <w:rsid w:val="000C35FA"/>
    <w:rsid w:val="000C5DA2"/>
    <w:rsid w:val="000C6579"/>
    <w:rsid w:val="000C6F61"/>
    <w:rsid w:val="000E1626"/>
    <w:rsid w:val="000F7B05"/>
    <w:rsid w:val="00103D19"/>
    <w:rsid w:val="001059C7"/>
    <w:rsid w:val="00110283"/>
    <w:rsid w:val="001135C3"/>
    <w:rsid w:val="00123E9A"/>
    <w:rsid w:val="001250DD"/>
    <w:rsid w:val="0013267D"/>
    <w:rsid w:val="001341A2"/>
    <w:rsid w:val="00137DEA"/>
    <w:rsid w:val="001411C1"/>
    <w:rsid w:val="0014249C"/>
    <w:rsid w:val="00144F1A"/>
    <w:rsid w:val="00150F1A"/>
    <w:rsid w:val="00151D61"/>
    <w:rsid w:val="00153DC3"/>
    <w:rsid w:val="0015422D"/>
    <w:rsid w:val="0015616C"/>
    <w:rsid w:val="001706D7"/>
    <w:rsid w:val="00171A86"/>
    <w:rsid w:val="00175C1C"/>
    <w:rsid w:val="001806E6"/>
    <w:rsid w:val="00182745"/>
    <w:rsid w:val="001827A3"/>
    <w:rsid w:val="00184898"/>
    <w:rsid w:val="00186DE1"/>
    <w:rsid w:val="0019238F"/>
    <w:rsid w:val="00195618"/>
    <w:rsid w:val="001A6A75"/>
    <w:rsid w:val="001B6CE3"/>
    <w:rsid w:val="001C667B"/>
    <w:rsid w:val="001C67EF"/>
    <w:rsid w:val="001D0D6B"/>
    <w:rsid w:val="001D161E"/>
    <w:rsid w:val="001D4646"/>
    <w:rsid w:val="001E16F7"/>
    <w:rsid w:val="001E66B9"/>
    <w:rsid w:val="001F4557"/>
    <w:rsid w:val="00200E11"/>
    <w:rsid w:val="002149BC"/>
    <w:rsid w:val="002218E2"/>
    <w:rsid w:val="002247F8"/>
    <w:rsid w:val="00224814"/>
    <w:rsid w:val="0022594E"/>
    <w:rsid w:val="002262F0"/>
    <w:rsid w:val="00230970"/>
    <w:rsid w:val="00233FAB"/>
    <w:rsid w:val="0023763D"/>
    <w:rsid w:val="002421C4"/>
    <w:rsid w:val="002422D6"/>
    <w:rsid w:val="00244CAE"/>
    <w:rsid w:val="002459C2"/>
    <w:rsid w:val="00246756"/>
    <w:rsid w:val="00252762"/>
    <w:rsid w:val="0025581E"/>
    <w:rsid w:val="00256F05"/>
    <w:rsid w:val="00260F58"/>
    <w:rsid w:val="00261066"/>
    <w:rsid w:val="00262755"/>
    <w:rsid w:val="00271323"/>
    <w:rsid w:val="00273BF6"/>
    <w:rsid w:val="00274739"/>
    <w:rsid w:val="0027601C"/>
    <w:rsid w:val="002800B7"/>
    <w:rsid w:val="00280F6C"/>
    <w:rsid w:val="00281073"/>
    <w:rsid w:val="00284481"/>
    <w:rsid w:val="00284F51"/>
    <w:rsid w:val="00284FAD"/>
    <w:rsid w:val="00286BCA"/>
    <w:rsid w:val="0029198F"/>
    <w:rsid w:val="002962FA"/>
    <w:rsid w:val="002A085A"/>
    <w:rsid w:val="002A2CDE"/>
    <w:rsid w:val="002A331A"/>
    <w:rsid w:val="002B2023"/>
    <w:rsid w:val="002B2C0A"/>
    <w:rsid w:val="002C6CF3"/>
    <w:rsid w:val="002C7A66"/>
    <w:rsid w:val="002D06BA"/>
    <w:rsid w:val="002D0B19"/>
    <w:rsid w:val="002D4D64"/>
    <w:rsid w:val="002D7858"/>
    <w:rsid w:val="002E16FC"/>
    <w:rsid w:val="002E2D45"/>
    <w:rsid w:val="002E5191"/>
    <w:rsid w:val="002E5F87"/>
    <w:rsid w:val="002E6697"/>
    <w:rsid w:val="002F0F4D"/>
    <w:rsid w:val="002F15F0"/>
    <w:rsid w:val="002F1B86"/>
    <w:rsid w:val="002F367F"/>
    <w:rsid w:val="002F54A7"/>
    <w:rsid w:val="002F5954"/>
    <w:rsid w:val="002F61B1"/>
    <w:rsid w:val="00300AB5"/>
    <w:rsid w:val="003019D7"/>
    <w:rsid w:val="00301D67"/>
    <w:rsid w:val="00303374"/>
    <w:rsid w:val="003058B6"/>
    <w:rsid w:val="00306907"/>
    <w:rsid w:val="00311BD5"/>
    <w:rsid w:val="0032000B"/>
    <w:rsid w:val="00322F0C"/>
    <w:rsid w:val="003260FB"/>
    <w:rsid w:val="003335A5"/>
    <w:rsid w:val="00335582"/>
    <w:rsid w:val="00344207"/>
    <w:rsid w:val="00345DD7"/>
    <w:rsid w:val="0035278D"/>
    <w:rsid w:val="0035331D"/>
    <w:rsid w:val="00354416"/>
    <w:rsid w:val="00364C24"/>
    <w:rsid w:val="003659FC"/>
    <w:rsid w:val="00373BF4"/>
    <w:rsid w:val="00373E5C"/>
    <w:rsid w:val="00374B9E"/>
    <w:rsid w:val="00382F05"/>
    <w:rsid w:val="00384FB6"/>
    <w:rsid w:val="00393578"/>
    <w:rsid w:val="00394CB9"/>
    <w:rsid w:val="003963FE"/>
    <w:rsid w:val="00396F67"/>
    <w:rsid w:val="00397586"/>
    <w:rsid w:val="003A05DD"/>
    <w:rsid w:val="003A3C7A"/>
    <w:rsid w:val="003A52E8"/>
    <w:rsid w:val="003B0F14"/>
    <w:rsid w:val="003B517B"/>
    <w:rsid w:val="003B762E"/>
    <w:rsid w:val="003C02AC"/>
    <w:rsid w:val="003C08E6"/>
    <w:rsid w:val="003C6274"/>
    <w:rsid w:val="003D1DF8"/>
    <w:rsid w:val="003D45CA"/>
    <w:rsid w:val="003D6C03"/>
    <w:rsid w:val="003D7948"/>
    <w:rsid w:val="003D7E1A"/>
    <w:rsid w:val="003E12D2"/>
    <w:rsid w:val="003E45A6"/>
    <w:rsid w:val="003F1657"/>
    <w:rsid w:val="003F205F"/>
    <w:rsid w:val="003F4B80"/>
    <w:rsid w:val="003F50ED"/>
    <w:rsid w:val="003F7BB8"/>
    <w:rsid w:val="004004CE"/>
    <w:rsid w:val="00402ABA"/>
    <w:rsid w:val="00405993"/>
    <w:rsid w:val="00405AA0"/>
    <w:rsid w:val="00405C91"/>
    <w:rsid w:val="00407B90"/>
    <w:rsid w:val="00420927"/>
    <w:rsid w:val="00422B8A"/>
    <w:rsid w:val="00424066"/>
    <w:rsid w:val="00425DAC"/>
    <w:rsid w:val="0042633E"/>
    <w:rsid w:val="00426568"/>
    <w:rsid w:val="004302EE"/>
    <w:rsid w:val="00432D67"/>
    <w:rsid w:val="0043302B"/>
    <w:rsid w:val="00433A6A"/>
    <w:rsid w:val="004345F3"/>
    <w:rsid w:val="00440D0C"/>
    <w:rsid w:val="004415AD"/>
    <w:rsid w:val="0044285F"/>
    <w:rsid w:val="00445114"/>
    <w:rsid w:val="00446B33"/>
    <w:rsid w:val="00453BCE"/>
    <w:rsid w:val="0045473E"/>
    <w:rsid w:val="004549B9"/>
    <w:rsid w:val="00455B12"/>
    <w:rsid w:val="00461DEE"/>
    <w:rsid w:val="00461E07"/>
    <w:rsid w:val="00462B54"/>
    <w:rsid w:val="00465CBF"/>
    <w:rsid w:val="004666C1"/>
    <w:rsid w:val="004730CF"/>
    <w:rsid w:val="0047399D"/>
    <w:rsid w:val="00473C05"/>
    <w:rsid w:val="00481933"/>
    <w:rsid w:val="00485282"/>
    <w:rsid w:val="00487EDA"/>
    <w:rsid w:val="00491AF8"/>
    <w:rsid w:val="004928F9"/>
    <w:rsid w:val="00492B8F"/>
    <w:rsid w:val="00493A74"/>
    <w:rsid w:val="004A1518"/>
    <w:rsid w:val="004A6072"/>
    <w:rsid w:val="004B0CF5"/>
    <w:rsid w:val="004B5E5A"/>
    <w:rsid w:val="004C452C"/>
    <w:rsid w:val="004C6E17"/>
    <w:rsid w:val="004D3A22"/>
    <w:rsid w:val="004D5A23"/>
    <w:rsid w:val="004E28BC"/>
    <w:rsid w:val="004E3C4E"/>
    <w:rsid w:val="004E4465"/>
    <w:rsid w:val="004E5F6A"/>
    <w:rsid w:val="004F114E"/>
    <w:rsid w:val="004F19EE"/>
    <w:rsid w:val="004F5A9B"/>
    <w:rsid w:val="004F5C7E"/>
    <w:rsid w:val="00500A7E"/>
    <w:rsid w:val="00503990"/>
    <w:rsid w:val="00503A22"/>
    <w:rsid w:val="00504322"/>
    <w:rsid w:val="00504E19"/>
    <w:rsid w:val="00511123"/>
    <w:rsid w:val="00516940"/>
    <w:rsid w:val="00520393"/>
    <w:rsid w:val="005235E9"/>
    <w:rsid w:val="00526895"/>
    <w:rsid w:val="00533D0C"/>
    <w:rsid w:val="005377BE"/>
    <w:rsid w:val="00550686"/>
    <w:rsid w:val="00550CD9"/>
    <w:rsid w:val="005512CB"/>
    <w:rsid w:val="0055443D"/>
    <w:rsid w:val="005572E3"/>
    <w:rsid w:val="00563634"/>
    <w:rsid w:val="00563824"/>
    <w:rsid w:val="0057071A"/>
    <w:rsid w:val="00570F75"/>
    <w:rsid w:val="00571728"/>
    <w:rsid w:val="00571A69"/>
    <w:rsid w:val="005862D7"/>
    <w:rsid w:val="00587D13"/>
    <w:rsid w:val="00590FE1"/>
    <w:rsid w:val="0059314C"/>
    <w:rsid w:val="0059392A"/>
    <w:rsid w:val="005956E2"/>
    <w:rsid w:val="00595CC6"/>
    <w:rsid w:val="00597366"/>
    <w:rsid w:val="005A1CFB"/>
    <w:rsid w:val="005A378E"/>
    <w:rsid w:val="005A3960"/>
    <w:rsid w:val="005A39B4"/>
    <w:rsid w:val="005A4151"/>
    <w:rsid w:val="005A4D47"/>
    <w:rsid w:val="005C3DE8"/>
    <w:rsid w:val="005D0793"/>
    <w:rsid w:val="005D286A"/>
    <w:rsid w:val="005D2D30"/>
    <w:rsid w:val="005E0A44"/>
    <w:rsid w:val="005E125E"/>
    <w:rsid w:val="005E1411"/>
    <w:rsid w:val="005E3F0A"/>
    <w:rsid w:val="005F0581"/>
    <w:rsid w:val="005F69DE"/>
    <w:rsid w:val="005F6D50"/>
    <w:rsid w:val="005F7DA6"/>
    <w:rsid w:val="006165AB"/>
    <w:rsid w:val="006171DA"/>
    <w:rsid w:val="006204AB"/>
    <w:rsid w:val="006220BC"/>
    <w:rsid w:val="006257A7"/>
    <w:rsid w:val="006259A5"/>
    <w:rsid w:val="00627F6E"/>
    <w:rsid w:val="0063443C"/>
    <w:rsid w:val="00635D84"/>
    <w:rsid w:val="0063734D"/>
    <w:rsid w:val="00642E4C"/>
    <w:rsid w:val="00643352"/>
    <w:rsid w:val="00644101"/>
    <w:rsid w:val="006448F2"/>
    <w:rsid w:val="00652390"/>
    <w:rsid w:val="00653C35"/>
    <w:rsid w:val="00660860"/>
    <w:rsid w:val="006615EE"/>
    <w:rsid w:val="00662B07"/>
    <w:rsid w:val="006632A5"/>
    <w:rsid w:val="00664CE3"/>
    <w:rsid w:val="00665C48"/>
    <w:rsid w:val="00665F84"/>
    <w:rsid w:val="0067250B"/>
    <w:rsid w:val="006729E7"/>
    <w:rsid w:val="00677DE2"/>
    <w:rsid w:val="00682296"/>
    <w:rsid w:val="00684A4B"/>
    <w:rsid w:val="00690A23"/>
    <w:rsid w:val="00697862"/>
    <w:rsid w:val="006A1143"/>
    <w:rsid w:val="006B20D4"/>
    <w:rsid w:val="006B734B"/>
    <w:rsid w:val="006B75E3"/>
    <w:rsid w:val="006D316D"/>
    <w:rsid w:val="006D4F25"/>
    <w:rsid w:val="006D73FF"/>
    <w:rsid w:val="006E27A5"/>
    <w:rsid w:val="006E3BB4"/>
    <w:rsid w:val="006E5D4E"/>
    <w:rsid w:val="006F1874"/>
    <w:rsid w:val="006F2684"/>
    <w:rsid w:val="006F3A25"/>
    <w:rsid w:val="0070215B"/>
    <w:rsid w:val="00704255"/>
    <w:rsid w:val="0070464C"/>
    <w:rsid w:val="00704F75"/>
    <w:rsid w:val="007074B0"/>
    <w:rsid w:val="00707A85"/>
    <w:rsid w:val="00711B57"/>
    <w:rsid w:val="007124E2"/>
    <w:rsid w:val="0071421A"/>
    <w:rsid w:val="007152A6"/>
    <w:rsid w:val="007219AA"/>
    <w:rsid w:val="00723443"/>
    <w:rsid w:val="00724D27"/>
    <w:rsid w:val="007301BF"/>
    <w:rsid w:val="00732665"/>
    <w:rsid w:val="0073420F"/>
    <w:rsid w:val="007346BF"/>
    <w:rsid w:val="00734AC3"/>
    <w:rsid w:val="00736242"/>
    <w:rsid w:val="00737B7B"/>
    <w:rsid w:val="007455AC"/>
    <w:rsid w:val="00751863"/>
    <w:rsid w:val="00752F65"/>
    <w:rsid w:val="00754FFF"/>
    <w:rsid w:val="00756641"/>
    <w:rsid w:val="00760DEE"/>
    <w:rsid w:val="00761515"/>
    <w:rsid w:val="007669DF"/>
    <w:rsid w:val="00770AA0"/>
    <w:rsid w:val="00776652"/>
    <w:rsid w:val="007836F1"/>
    <w:rsid w:val="00784062"/>
    <w:rsid w:val="007A0D81"/>
    <w:rsid w:val="007A293A"/>
    <w:rsid w:val="007A29E2"/>
    <w:rsid w:val="007A6377"/>
    <w:rsid w:val="007B09D2"/>
    <w:rsid w:val="007B2FC0"/>
    <w:rsid w:val="007B5F80"/>
    <w:rsid w:val="007D2247"/>
    <w:rsid w:val="007D2D9F"/>
    <w:rsid w:val="007D45CD"/>
    <w:rsid w:val="007D5256"/>
    <w:rsid w:val="007D74B6"/>
    <w:rsid w:val="007D7FE3"/>
    <w:rsid w:val="007E0BC1"/>
    <w:rsid w:val="007E1051"/>
    <w:rsid w:val="007F0897"/>
    <w:rsid w:val="007F25B2"/>
    <w:rsid w:val="007F353C"/>
    <w:rsid w:val="007F7388"/>
    <w:rsid w:val="008008BE"/>
    <w:rsid w:val="00801D16"/>
    <w:rsid w:val="00804A7E"/>
    <w:rsid w:val="00807483"/>
    <w:rsid w:val="00821B8D"/>
    <w:rsid w:val="00821EDF"/>
    <w:rsid w:val="0082642A"/>
    <w:rsid w:val="008275A1"/>
    <w:rsid w:val="00832E29"/>
    <w:rsid w:val="008336D7"/>
    <w:rsid w:val="00833DD5"/>
    <w:rsid w:val="00843BBC"/>
    <w:rsid w:val="00850540"/>
    <w:rsid w:val="00851DBB"/>
    <w:rsid w:val="00852E10"/>
    <w:rsid w:val="00860ED5"/>
    <w:rsid w:val="008631B5"/>
    <w:rsid w:val="00863A71"/>
    <w:rsid w:val="00870BF1"/>
    <w:rsid w:val="008851AA"/>
    <w:rsid w:val="008A40A3"/>
    <w:rsid w:val="008A6B45"/>
    <w:rsid w:val="008A7CD8"/>
    <w:rsid w:val="008B29DA"/>
    <w:rsid w:val="008B5D02"/>
    <w:rsid w:val="008B71FC"/>
    <w:rsid w:val="008C0327"/>
    <w:rsid w:val="008C353E"/>
    <w:rsid w:val="008D0679"/>
    <w:rsid w:val="008D3C8A"/>
    <w:rsid w:val="008D64DC"/>
    <w:rsid w:val="008D6B9C"/>
    <w:rsid w:val="008D711D"/>
    <w:rsid w:val="008E05C8"/>
    <w:rsid w:val="008E5A58"/>
    <w:rsid w:val="008E731D"/>
    <w:rsid w:val="008F0525"/>
    <w:rsid w:val="008F0C67"/>
    <w:rsid w:val="008F0DCC"/>
    <w:rsid w:val="008F273F"/>
    <w:rsid w:val="008F4D69"/>
    <w:rsid w:val="0090323E"/>
    <w:rsid w:val="009039E1"/>
    <w:rsid w:val="00916F72"/>
    <w:rsid w:val="00923448"/>
    <w:rsid w:val="009235F8"/>
    <w:rsid w:val="00925017"/>
    <w:rsid w:val="00934D93"/>
    <w:rsid w:val="00940B39"/>
    <w:rsid w:val="00945A2B"/>
    <w:rsid w:val="00946C6C"/>
    <w:rsid w:val="009473DF"/>
    <w:rsid w:val="009517DA"/>
    <w:rsid w:val="00952145"/>
    <w:rsid w:val="0096033E"/>
    <w:rsid w:val="00961C9F"/>
    <w:rsid w:val="00963515"/>
    <w:rsid w:val="00964114"/>
    <w:rsid w:val="00966594"/>
    <w:rsid w:val="009748AB"/>
    <w:rsid w:val="00976EF7"/>
    <w:rsid w:val="009814EC"/>
    <w:rsid w:val="00981BA4"/>
    <w:rsid w:val="00990241"/>
    <w:rsid w:val="00990EA3"/>
    <w:rsid w:val="00992511"/>
    <w:rsid w:val="00992667"/>
    <w:rsid w:val="00992675"/>
    <w:rsid w:val="00993F1B"/>
    <w:rsid w:val="00996339"/>
    <w:rsid w:val="00997135"/>
    <w:rsid w:val="00997E35"/>
    <w:rsid w:val="009A1A86"/>
    <w:rsid w:val="009A2040"/>
    <w:rsid w:val="009B139D"/>
    <w:rsid w:val="009B339C"/>
    <w:rsid w:val="009C7557"/>
    <w:rsid w:val="009C7CE4"/>
    <w:rsid w:val="009D19F3"/>
    <w:rsid w:val="009D34BC"/>
    <w:rsid w:val="009E3E20"/>
    <w:rsid w:val="009E4AF7"/>
    <w:rsid w:val="009E4D71"/>
    <w:rsid w:val="009E5AF0"/>
    <w:rsid w:val="009E7326"/>
    <w:rsid w:val="009F057B"/>
    <w:rsid w:val="009F2DA7"/>
    <w:rsid w:val="009F3C7D"/>
    <w:rsid w:val="009F5D54"/>
    <w:rsid w:val="009F66EB"/>
    <w:rsid w:val="00A020E2"/>
    <w:rsid w:val="00A03E2B"/>
    <w:rsid w:val="00A050ED"/>
    <w:rsid w:val="00A0705D"/>
    <w:rsid w:val="00A1203B"/>
    <w:rsid w:val="00A12E74"/>
    <w:rsid w:val="00A12EF3"/>
    <w:rsid w:val="00A13A76"/>
    <w:rsid w:val="00A1626B"/>
    <w:rsid w:val="00A2307F"/>
    <w:rsid w:val="00A23869"/>
    <w:rsid w:val="00A2436B"/>
    <w:rsid w:val="00A30EE1"/>
    <w:rsid w:val="00A3265D"/>
    <w:rsid w:val="00A35B6F"/>
    <w:rsid w:val="00A35DB7"/>
    <w:rsid w:val="00A37251"/>
    <w:rsid w:val="00A42158"/>
    <w:rsid w:val="00A50A79"/>
    <w:rsid w:val="00A54AEC"/>
    <w:rsid w:val="00A65F57"/>
    <w:rsid w:val="00A84576"/>
    <w:rsid w:val="00A86FD8"/>
    <w:rsid w:val="00A91571"/>
    <w:rsid w:val="00A9424A"/>
    <w:rsid w:val="00A94488"/>
    <w:rsid w:val="00A963E8"/>
    <w:rsid w:val="00A972B3"/>
    <w:rsid w:val="00AA33EF"/>
    <w:rsid w:val="00AA5820"/>
    <w:rsid w:val="00AB12DC"/>
    <w:rsid w:val="00AB1479"/>
    <w:rsid w:val="00AB1887"/>
    <w:rsid w:val="00AB3924"/>
    <w:rsid w:val="00AB4258"/>
    <w:rsid w:val="00AC007B"/>
    <w:rsid w:val="00AC237B"/>
    <w:rsid w:val="00AC2EA2"/>
    <w:rsid w:val="00AC7195"/>
    <w:rsid w:val="00AD06FB"/>
    <w:rsid w:val="00AD07C1"/>
    <w:rsid w:val="00AD1FE6"/>
    <w:rsid w:val="00AE0449"/>
    <w:rsid w:val="00AE1269"/>
    <w:rsid w:val="00AE25EA"/>
    <w:rsid w:val="00AE4791"/>
    <w:rsid w:val="00AF4700"/>
    <w:rsid w:val="00AF7A12"/>
    <w:rsid w:val="00B014A7"/>
    <w:rsid w:val="00B07C5D"/>
    <w:rsid w:val="00B1015A"/>
    <w:rsid w:val="00B177EF"/>
    <w:rsid w:val="00B25752"/>
    <w:rsid w:val="00B25A50"/>
    <w:rsid w:val="00B312B0"/>
    <w:rsid w:val="00B32034"/>
    <w:rsid w:val="00B33984"/>
    <w:rsid w:val="00B34BAC"/>
    <w:rsid w:val="00B34D97"/>
    <w:rsid w:val="00B37E6D"/>
    <w:rsid w:val="00B427A1"/>
    <w:rsid w:val="00B42D01"/>
    <w:rsid w:val="00B45A64"/>
    <w:rsid w:val="00B46C22"/>
    <w:rsid w:val="00B4719F"/>
    <w:rsid w:val="00B528DE"/>
    <w:rsid w:val="00B5575C"/>
    <w:rsid w:val="00B562EB"/>
    <w:rsid w:val="00B6243B"/>
    <w:rsid w:val="00B66B77"/>
    <w:rsid w:val="00B703EB"/>
    <w:rsid w:val="00B7611D"/>
    <w:rsid w:val="00B81F5A"/>
    <w:rsid w:val="00B82559"/>
    <w:rsid w:val="00B82EA4"/>
    <w:rsid w:val="00B86014"/>
    <w:rsid w:val="00B94983"/>
    <w:rsid w:val="00B95586"/>
    <w:rsid w:val="00B96606"/>
    <w:rsid w:val="00BA1D71"/>
    <w:rsid w:val="00BB2225"/>
    <w:rsid w:val="00BC2BB8"/>
    <w:rsid w:val="00BD1C42"/>
    <w:rsid w:val="00BD2A9D"/>
    <w:rsid w:val="00BE326E"/>
    <w:rsid w:val="00BE368F"/>
    <w:rsid w:val="00BE5AD5"/>
    <w:rsid w:val="00BF6BFA"/>
    <w:rsid w:val="00C013F8"/>
    <w:rsid w:val="00C105FC"/>
    <w:rsid w:val="00C10BB5"/>
    <w:rsid w:val="00C11DB2"/>
    <w:rsid w:val="00C15805"/>
    <w:rsid w:val="00C1667A"/>
    <w:rsid w:val="00C25265"/>
    <w:rsid w:val="00C3064C"/>
    <w:rsid w:val="00C3423D"/>
    <w:rsid w:val="00C35CC3"/>
    <w:rsid w:val="00C36841"/>
    <w:rsid w:val="00C378B6"/>
    <w:rsid w:val="00C44DDE"/>
    <w:rsid w:val="00C471C4"/>
    <w:rsid w:val="00C61BBD"/>
    <w:rsid w:val="00C61E8F"/>
    <w:rsid w:val="00C74FC3"/>
    <w:rsid w:val="00C77D39"/>
    <w:rsid w:val="00C87331"/>
    <w:rsid w:val="00C91584"/>
    <w:rsid w:val="00C9185A"/>
    <w:rsid w:val="00CA0616"/>
    <w:rsid w:val="00CA2FAA"/>
    <w:rsid w:val="00CA5365"/>
    <w:rsid w:val="00CA5650"/>
    <w:rsid w:val="00CA651C"/>
    <w:rsid w:val="00CB3F03"/>
    <w:rsid w:val="00CB6D86"/>
    <w:rsid w:val="00CC0541"/>
    <w:rsid w:val="00CC1975"/>
    <w:rsid w:val="00CC1EBF"/>
    <w:rsid w:val="00CC2F7D"/>
    <w:rsid w:val="00CC2FFA"/>
    <w:rsid w:val="00CC40BF"/>
    <w:rsid w:val="00CC526A"/>
    <w:rsid w:val="00CC69B3"/>
    <w:rsid w:val="00CD2CB8"/>
    <w:rsid w:val="00CE0780"/>
    <w:rsid w:val="00CE4040"/>
    <w:rsid w:val="00CE5135"/>
    <w:rsid w:val="00CE62AB"/>
    <w:rsid w:val="00CF05B1"/>
    <w:rsid w:val="00CF108D"/>
    <w:rsid w:val="00CF122F"/>
    <w:rsid w:val="00CF4633"/>
    <w:rsid w:val="00D03766"/>
    <w:rsid w:val="00D07F71"/>
    <w:rsid w:val="00D164BB"/>
    <w:rsid w:val="00D17EA7"/>
    <w:rsid w:val="00D22A38"/>
    <w:rsid w:val="00D22BBD"/>
    <w:rsid w:val="00D268BA"/>
    <w:rsid w:val="00D2725B"/>
    <w:rsid w:val="00D27A2E"/>
    <w:rsid w:val="00D30A05"/>
    <w:rsid w:val="00D31191"/>
    <w:rsid w:val="00D3652B"/>
    <w:rsid w:val="00D36E63"/>
    <w:rsid w:val="00D42011"/>
    <w:rsid w:val="00D47A55"/>
    <w:rsid w:val="00D526B2"/>
    <w:rsid w:val="00D52B5F"/>
    <w:rsid w:val="00D6050A"/>
    <w:rsid w:val="00D60754"/>
    <w:rsid w:val="00D62274"/>
    <w:rsid w:val="00D62740"/>
    <w:rsid w:val="00D64CDB"/>
    <w:rsid w:val="00D66053"/>
    <w:rsid w:val="00D66F7E"/>
    <w:rsid w:val="00D67816"/>
    <w:rsid w:val="00D67C51"/>
    <w:rsid w:val="00D8216C"/>
    <w:rsid w:val="00D84E28"/>
    <w:rsid w:val="00D936C3"/>
    <w:rsid w:val="00D940ED"/>
    <w:rsid w:val="00D946FC"/>
    <w:rsid w:val="00D94CC5"/>
    <w:rsid w:val="00D95179"/>
    <w:rsid w:val="00DA4382"/>
    <w:rsid w:val="00DA63B4"/>
    <w:rsid w:val="00DB0AAA"/>
    <w:rsid w:val="00DB13E2"/>
    <w:rsid w:val="00DB26A6"/>
    <w:rsid w:val="00DB6FBB"/>
    <w:rsid w:val="00DC0BC8"/>
    <w:rsid w:val="00DC3CD1"/>
    <w:rsid w:val="00DC4817"/>
    <w:rsid w:val="00DC7420"/>
    <w:rsid w:val="00DD12B3"/>
    <w:rsid w:val="00DD30D2"/>
    <w:rsid w:val="00DD6B45"/>
    <w:rsid w:val="00DE080C"/>
    <w:rsid w:val="00DE2176"/>
    <w:rsid w:val="00DE25C9"/>
    <w:rsid w:val="00DE2A1E"/>
    <w:rsid w:val="00DE312B"/>
    <w:rsid w:val="00DF1182"/>
    <w:rsid w:val="00DF2045"/>
    <w:rsid w:val="00DF256A"/>
    <w:rsid w:val="00DF4348"/>
    <w:rsid w:val="00DF4B65"/>
    <w:rsid w:val="00E022B9"/>
    <w:rsid w:val="00E029EE"/>
    <w:rsid w:val="00E043FC"/>
    <w:rsid w:val="00E10B82"/>
    <w:rsid w:val="00E13343"/>
    <w:rsid w:val="00E14702"/>
    <w:rsid w:val="00E16FCB"/>
    <w:rsid w:val="00E30D8D"/>
    <w:rsid w:val="00E37DB0"/>
    <w:rsid w:val="00E5058A"/>
    <w:rsid w:val="00E53557"/>
    <w:rsid w:val="00E53764"/>
    <w:rsid w:val="00E55CA4"/>
    <w:rsid w:val="00E579E7"/>
    <w:rsid w:val="00E602F4"/>
    <w:rsid w:val="00E60537"/>
    <w:rsid w:val="00E64FB8"/>
    <w:rsid w:val="00E66810"/>
    <w:rsid w:val="00E72458"/>
    <w:rsid w:val="00E7358F"/>
    <w:rsid w:val="00E74803"/>
    <w:rsid w:val="00E7696B"/>
    <w:rsid w:val="00E82D53"/>
    <w:rsid w:val="00E831CC"/>
    <w:rsid w:val="00E83CDD"/>
    <w:rsid w:val="00E85366"/>
    <w:rsid w:val="00E85CDC"/>
    <w:rsid w:val="00E93CD1"/>
    <w:rsid w:val="00E972A3"/>
    <w:rsid w:val="00EA02E9"/>
    <w:rsid w:val="00EA3E73"/>
    <w:rsid w:val="00EA3ECF"/>
    <w:rsid w:val="00EA7ED5"/>
    <w:rsid w:val="00EB4B06"/>
    <w:rsid w:val="00EB5611"/>
    <w:rsid w:val="00EC0298"/>
    <w:rsid w:val="00EC20E2"/>
    <w:rsid w:val="00EC32E5"/>
    <w:rsid w:val="00EC6D48"/>
    <w:rsid w:val="00EC7831"/>
    <w:rsid w:val="00ED391A"/>
    <w:rsid w:val="00EE0970"/>
    <w:rsid w:val="00EE1855"/>
    <w:rsid w:val="00EF1184"/>
    <w:rsid w:val="00EF48BD"/>
    <w:rsid w:val="00EF7FDF"/>
    <w:rsid w:val="00F00264"/>
    <w:rsid w:val="00F00DAF"/>
    <w:rsid w:val="00F01183"/>
    <w:rsid w:val="00F01773"/>
    <w:rsid w:val="00F119C4"/>
    <w:rsid w:val="00F12A1E"/>
    <w:rsid w:val="00F16531"/>
    <w:rsid w:val="00F240E2"/>
    <w:rsid w:val="00F258C4"/>
    <w:rsid w:val="00F32ABF"/>
    <w:rsid w:val="00F32BC7"/>
    <w:rsid w:val="00F35B31"/>
    <w:rsid w:val="00F36854"/>
    <w:rsid w:val="00F4164A"/>
    <w:rsid w:val="00F42761"/>
    <w:rsid w:val="00F61349"/>
    <w:rsid w:val="00F61845"/>
    <w:rsid w:val="00F62E45"/>
    <w:rsid w:val="00F637B6"/>
    <w:rsid w:val="00F63A26"/>
    <w:rsid w:val="00F64FFE"/>
    <w:rsid w:val="00F8376F"/>
    <w:rsid w:val="00F84874"/>
    <w:rsid w:val="00F85A0F"/>
    <w:rsid w:val="00F96801"/>
    <w:rsid w:val="00F9683E"/>
    <w:rsid w:val="00F96F08"/>
    <w:rsid w:val="00FA3FC8"/>
    <w:rsid w:val="00FC5AA1"/>
    <w:rsid w:val="00FD138A"/>
    <w:rsid w:val="00FD30F2"/>
    <w:rsid w:val="00FD419A"/>
    <w:rsid w:val="00FE0FC4"/>
    <w:rsid w:val="00FE65B8"/>
    <w:rsid w:val="00FF104C"/>
    <w:rsid w:val="05883890"/>
    <w:rsid w:val="0588561A"/>
    <w:rsid w:val="08107307"/>
    <w:rsid w:val="09694DA0"/>
    <w:rsid w:val="097D6C87"/>
    <w:rsid w:val="09B34749"/>
    <w:rsid w:val="0B157125"/>
    <w:rsid w:val="0BCF19C1"/>
    <w:rsid w:val="0CBF0D30"/>
    <w:rsid w:val="0CFD5067"/>
    <w:rsid w:val="0DEB2968"/>
    <w:rsid w:val="0FF57604"/>
    <w:rsid w:val="1072350E"/>
    <w:rsid w:val="11AC0B6E"/>
    <w:rsid w:val="15ED2E2F"/>
    <w:rsid w:val="190C0D42"/>
    <w:rsid w:val="197F5E68"/>
    <w:rsid w:val="1DCB5D55"/>
    <w:rsid w:val="1DEE2237"/>
    <w:rsid w:val="22757967"/>
    <w:rsid w:val="22BF1FAF"/>
    <w:rsid w:val="255F06ED"/>
    <w:rsid w:val="265C434B"/>
    <w:rsid w:val="26A14931"/>
    <w:rsid w:val="283178B3"/>
    <w:rsid w:val="28B22266"/>
    <w:rsid w:val="28D33250"/>
    <w:rsid w:val="29666B7A"/>
    <w:rsid w:val="2E132342"/>
    <w:rsid w:val="300F000B"/>
    <w:rsid w:val="31FE3364"/>
    <w:rsid w:val="332C5D6F"/>
    <w:rsid w:val="35797AB3"/>
    <w:rsid w:val="384F493A"/>
    <w:rsid w:val="39F11534"/>
    <w:rsid w:val="3A675026"/>
    <w:rsid w:val="3DC31401"/>
    <w:rsid w:val="3E330C0E"/>
    <w:rsid w:val="3ED3461E"/>
    <w:rsid w:val="47A93EAE"/>
    <w:rsid w:val="485E23AA"/>
    <w:rsid w:val="498224EC"/>
    <w:rsid w:val="4AB625B4"/>
    <w:rsid w:val="4D1871CB"/>
    <w:rsid w:val="4DB808E8"/>
    <w:rsid w:val="500C58AA"/>
    <w:rsid w:val="52A607EC"/>
    <w:rsid w:val="54CA6AFE"/>
    <w:rsid w:val="55E8108B"/>
    <w:rsid w:val="562415BA"/>
    <w:rsid w:val="56390D4C"/>
    <w:rsid w:val="5735562E"/>
    <w:rsid w:val="57BE5105"/>
    <w:rsid w:val="58A92837"/>
    <w:rsid w:val="5A3F79A4"/>
    <w:rsid w:val="5C2C6099"/>
    <w:rsid w:val="5C9F59E2"/>
    <w:rsid w:val="5E664204"/>
    <w:rsid w:val="5EE45F8E"/>
    <w:rsid w:val="5EF810A5"/>
    <w:rsid w:val="5F247CA9"/>
    <w:rsid w:val="604528C9"/>
    <w:rsid w:val="64EE7FD0"/>
    <w:rsid w:val="678E38B3"/>
    <w:rsid w:val="67B6713B"/>
    <w:rsid w:val="67EF24E0"/>
    <w:rsid w:val="69200B40"/>
    <w:rsid w:val="6DED061C"/>
    <w:rsid w:val="733E232D"/>
    <w:rsid w:val="740B2BBE"/>
    <w:rsid w:val="7AE06D3D"/>
    <w:rsid w:val="7DA41F58"/>
    <w:rsid w:val="7DB114E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nhideWhenUsed="0" w:uiPriority="0" w:semiHidden="0" w:name="footnote text" w:locked="1"/>
    <w:lsdException w:qFormat="1" w:uiPriority="0" w:semiHidden="0" w:name="annotation text" w:locked="1"/>
    <w:lsdException w:qFormat="1" w:unhideWhenUsed="0" w:uiPriority="0" w:semiHidden="0" w:name="header"/>
    <w:lsdException w:qFormat="1" w:unhideWhenUsed="0" w:uiPriority="99" w:semiHidden="0" w:name="footer"/>
    <w:lsdException w:uiPriority="99" w:name="index heading" w:locked="1"/>
    <w:lsdException w:qFormat="1" w:unhideWhenUsed="0" w:uiPriority="0" w:semiHidden="0" w:name="caption"/>
    <w:lsdException w:unhideWhenUsed="0" w:uiPriority="0" w:semiHidden="0" w:name="table of figures" w:locked="1"/>
    <w:lsdException w:uiPriority="99" w:name="envelope address" w:locked="1"/>
    <w:lsdException w:uiPriority="99" w:name="envelope return" w:locked="1"/>
    <w:lsdException w:unhideWhenUsed="0" w:uiPriority="0" w:semiHidden="0" w:name="footnote reference" w:locked="1"/>
    <w:lsdException w:unhideWhenUsed="0" w:uiPriority="0" w:semiHidden="0"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qFormat="1"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uiPriority="99" w:name="List Bullet 5" w:locked="1"/>
    <w:lsdException w:qFormat="1" w:unhideWhenUsed="0" w:uiPriority="0" w:semiHidden="0" w:name="List Number 2" w:locked="1"/>
    <w:lsdException w:qFormat="1" w:unhideWhenUsed="0" w:uiPriority="0" w:semiHidden="0"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iPriority="99" w:name="Note Heading" w:locked="1"/>
    <w:lsdException w:unhideWhenUsed="0" w:uiPriority="0" w:semiHidden="0" w:name="Body Text 2" w:locked="1"/>
    <w:lsdException w:qFormat="1" w:unhideWhenUsed="0" w:uiPriority="0" w:semiHidden="0" w:name="Body Text 3" w:locked="1"/>
    <w:lsdException w:qFormat="1" w:unhideWhenUsed="0" w:uiPriority="99" w:semiHidden="0" w:name="Body Text Indent 2"/>
    <w:lsdException w:unhideWhenUsed="0" w:uiPriority="0" w:semiHidden="0" w:name="Body Text Indent 3" w:locked="1"/>
    <w:lsdException w:uiPriority="99" w:name="Block Text" w:locked="1"/>
    <w:lsdException w:qFormat="1" w:unhideWhenUsed="0" w:uiPriority="99" w:semiHidden="0" w:name="Hyperlink"/>
    <w:lsdException w:unhideWhenUsed="0" w:uiPriority="0" w:semiHidden="0" w:name="FollowedHyperlink" w:locked="1"/>
    <w:lsdException w:qFormat="1" w:unhideWhenUsed="0" w:uiPriority="22" w:semiHidden="0" w:name="Strong"/>
    <w:lsdException w:qFormat="1" w:unhideWhenUsed="0" w:uiPriority="0" w:semiHidden="0" w:name="Emphasis"/>
    <w:lsdException w:qFormat="1" w:unhideWhenUsed="0" w:uiPriority="0" w:semiHidden="0" w:name="Document Map" w:locked="1"/>
    <w:lsdException w:qFormat="1" w:unhideWhenUsed="0" w:uiPriority="0" w:semiHidden="0"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qFormat/>
    <w:uiPriority w:val="0"/>
    <w:pPr>
      <w:keepNext/>
      <w:snapToGrid w:val="0"/>
      <w:spacing w:line="360" w:lineRule="atLeast"/>
      <w:outlineLvl w:val="0"/>
    </w:pPr>
    <w:rPr>
      <w:rFonts w:ascii="宋体"/>
      <w:sz w:val="28"/>
      <w:szCs w:val="20"/>
    </w:rPr>
  </w:style>
  <w:style w:type="paragraph" w:styleId="3">
    <w:name w:val="heading 2"/>
    <w:basedOn w:val="1"/>
    <w:next w:val="1"/>
    <w:link w:val="6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8"/>
    <w:qFormat/>
    <w:uiPriority w:val="0"/>
    <w:pPr>
      <w:keepNext/>
      <w:keepLines/>
      <w:spacing w:before="260" w:after="260" w:line="416" w:lineRule="auto"/>
      <w:outlineLvl w:val="2"/>
    </w:pPr>
    <w:rPr>
      <w:b/>
      <w:bCs/>
      <w:sz w:val="32"/>
      <w:szCs w:val="32"/>
    </w:rPr>
  </w:style>
  <w:style w:type="paragraph" w:styleId="5">
    <w:name w:val="heading 4"/>
    <w:basedOn w:val="1"/>
    <w:next w:val="1"/>
    <w:link w:val="76"/>
    <w:qFormat/>
    <w:uiPriority w:val="0"/>
    <w:pPr>
      <w:keepNext/>
      <w:keepLines/>
      <w:spacing w:before="280" w:after="290" w:line="372" w:lineRule="auto"/>
      <w:outlineLvl w:val="3"/>
    </w:pPr>
    <w:rPr>
      <w:rFonts w:ascii="Arial" w:hAnsi="Arial" w:eastAsia="黑体"/>
      <w:b/>
      <w:sz w:val="28"/>
      <w:szCs w:val="20"/>
    </w:rPr>
  </w:style>
  <w:style w:type="paragraph" w:styleId="6">
    <w:name w:val="heading 5"/>
    <w:basedOn w:val="1"/>
    <w:next w:val="1"/>
    <w:link w:val="77"/>
    <w:qFormat/>
    <w:uiPriority w:val="0"/>
    <w:pPr>
      <w:keepNext/>
      <w:keepLines/>
      <w:tabs>
        <w:tab w:val="left" w:pos="2551"/>
      </w:tabs>
      <w:spacing w:before="280" w:after="290" w:line="372" w:lineRule="auto"/>
      <w:ind w:left="2551" w:hanging="850"/>
      <w:outlineLvl w:val="4"/>
    </w:pPr>
    <w:rPr>
      <w:b/>
      <w:sz w:val="28"/>
      <w:szCs w:val="20"/>
    </w:rPr>
  </w:style>
  <w:style w:type="paragraph" w:styleId="7">
    <w:name w:val="heading 6"/>
    <w:basedOn w:val="1"/>
    <w:next w:val="1"/>
    <w:link w:val="78"/>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szCs w:val="20"/>
    </w:rPr>
  </w:style>
  <w:style w:type="paragraph" w:styleId="8">
    <w:name w:val="heading 7"/>
    <w:basedOn w:val="1"/>
    <w:next w:val="1"/>
    <w:link w:val="79"/>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szCs w:val="20"/>
    </w:rPr>
  </w:style>
  <w:style w:type="paragraph" w:styleId="9">
    <w:name w:val="heading 8"/>
    <w:basedOn w:val="1"/>
    <w:next w:val="1"/>
    <w:link w:val="80"/>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szCs w:val="20"/>
    </w:rPr>
  </w:style>
  <w:style w:type="paragraph" w:styleId="10">
    <w:name w:val="heading 9"/>
    <w:basedOn w:val="1"/>
    <w:next w:val="1"/>
    <w:link w:val="8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szCs w:val="20"/>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locked/>
    <w:uiPriority w:val="0"/>
    <w:pPr>
      <w:adjustRightInd w:val="0"/>
      <w:snapToGrid w:val="0"/>
      <w:spacing w:line="360" w:lineRule="auto"/>
      <w:ind w:left="100" w:leftChars="400" w:hanging="200" w:hangingChars="200"/>
    </w:pPr>
    <w:rPr>
      <w:sz w:val="24"/>
      <w:szCs w:val="20"/>
    </w:rPr>
  </w:style>
  <w:style w:type="paragraph" w:styleId="12">
    <w:name w:val="toc 7"/>
    <w:basedOn w:val="1"/>
    <w:next w:val="1"/>
    <w:qFormat/>
    <w:uiPriority w:val="0"/>
    <w:pPr>
      <w:ind w:left="2520" w:leftChars="1200"/>
    </w:pPr>
    <w:rPr>
      <w:sz w:val="28"/>
      <w:szCs w:val="20"/>
    </w:rPr>
  </w:style>
  <w:style w:type="paragraph" w:styleId="13">
    <w:name w:val="List Number 2"/>
    <w:basedOn w:val="1"/>
    <w:qFormat/>
    <w:locked/>
    <w:uiPriority w:val="0"/>
    <w:pPr>
      <w:tabs>
        <w:tab w:val="left" w:pos="780"/>
      </w:tabs>
      <w:spacing w:line="360" w:lineRule="auto"/>
      <w:ind w:left="425" w:hanging="425"/>
    </w:pPr>
    <w:rPr>
      <w:sz w:val="24"/>
      <w:szCs w:val="20"/>
    </w:rPr>
  </w:style>
  <w:style w:type="paragraph" w:styleId="14">
    <w:name w:val="List Bullet 4"/>
    <w:basedOn w:val="1"/>
    <w:qFormat/>
    <w:locked/>
    <w:uiPriority w:val="0"/>
    <w:pPr>
      <w:widowControl/>
      <w:tabs>
        <w:tab w:val="left" w:pos="1134"/>
      </w:tabs>
      <w:adjustRightInd w:val="0"/>
      <w:snapToGrid w:val="0"/>
      <w:spacing w:before="120" w:line="280" w:lineRule="atLeast"/>
      <w:ind w:left="1418" w:hanging="284"/>
      <w:jc w:val="left"/>
    </w:pPr>
    <w:rPr>
      <w:rFonts w:ascii="宋体"/>
      <w:kern w:val="0"/>
      <w:sz w:val="22"/>
      <w:szCs w:val="20"/>
    </w:rPr>
  </w:style>
  <w:style w:type="paragraph" w:styleId="15">
    <w:name w:val="Normal Indent"/>
    <w:basedOn w:val="1"/>
    <w:qFormat/>
    <w:locked/>
    <w:uiPriority w:val="0"/>
    <w:pPr>
      <w:adjustRightInd w:val="0"/>
      <w:snapToGrid w:val="0"/>
      <w:spacing w:line="360" w:lineRule="auto"/>
      <w:ind w:firstLine="420"/>
    </w:pPr>
    <w:rPr>
      <w:sz w:val="24"/>
      <w:szCs w:val="20"/>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szCs w:val="20"/>
      <w:lang w:eastAsia="zh-TW"/>
    </w:rPr>
  </w:style>
  <w:style w:type="paragraph" w:styleId="17">
    <w:name w:val="Document Map"/>
    <w:basedOn w:val="1"/>
    <w:link w:val="177"/>
    <w:qFormat/>
    <w:locked/>
    <w:uiPriority w:val="0"/>
    <w:pPr>
      <w:shd w:val="clear" w:color="auto" w:fill="000080"/>
    </w:pPr>
    <w:rPr>
      <w:sz w:val="28"/>
      <w:szCs w:val="20"/>
    </w:rPr>
  </w:style>
  <w:style w:type="paragraph" w:styleId="18">
    <w:name w:val="toa heading"/>
    <w:basedOn w:val="1"/>
    <w:next w:val="1"/>
    <w:qFormat/>
    <w:locked/>
    <w:uiPriority w:val="0"/>
    <w:pPr>
      <w:spacing w:before="120"/>
    </w:pPr>
    <w:rPr>
      <w:rFonts w:ascii="Arial" w:hAnsi="Arial"/>
      <w:sz w:val="24"/>
      <w:szCs w:val="20"/>
    </w:rPr>
  </w:style>
  <w:style w:type="paragraph" w:styleId="19">
    <w:name w:val="annotation text"/>
    <w:basedOn w:val="1"/>
    <w:link w:val="167"/>
    <w:unhideWhenUsed/>
    <w:qFormat/>
    <w:locked/>
    <w:uiPriority w:val="0"/>
    <w:pPr>
      <w:jc w:val="left"/>
    </w:pPr>
  </w:style>
  <w:style w:type="paragraph" w:styleId="20">
    <w:name w:val="Body Text 3"/>
    <w:basedOn w:val="1"/>
    <w:link w:val="156"/>
    <w:qFormat/>
    <w:locked/>
    <w:uiPriority w:val="0"/>
    <w:pPr>
      <w:adjustRightInd w:val="0"/>
      <w:snapToGrid w:val="0"/>
      <w:spacing w:after="120" w:line="360" w:lineRule="auto"/>
    </w:pPr>
    <w:rPr>
      <w:sz w:val="16"/>
      <w:szCs w:val="20"/>
    </w:rPr>
  </w:style>
  <w:style w:type="paragraph" w:styleId="21">
    <w:name w:val="List Bullet 3"/>
    <w:basedOn w:val="1"/>
    <w:qFormat/>
    <w:locked/>
    <w:uiPriority w:val="0"/>
    <w:pPr>
      <w:tabs>
        <w:tab w:val="left" w:pos="1200"/>
      </w:tabs>
      <w:adjustRightInd w:val="0"/>
      <w:snapToGrid w:val="0"/>
      <w:spacing w:line="360" w:lineRule="auto"/>
      <w:ind w:left="1200" w:hanging="360"/>
    </w:pPr>
    <w:rPr>
      <w:sz w:val="24"/>
      <w:szCs w:val="20"/>
    </w:rPr>
  </w:style>
  <w:style w:type="paragraph" w:styleId="22">
    <w:name w:val="Body Text"/>
    <w:basedOn w:val="1"/>
    <w:link w:val="69"/>
    <w:qFormat/>
    <w:uiPriority w:val="0"/>
    <w:rPr>
      <w:sz w:val="32"/>
    </w:rPr>
  </w:style>
  <w:style w:type="paragraph" w:styleId="23">
    <w:name w:val="Body Text Indent"/>
    <w:basedOn w:val="1"/>
    <w:link w:val="70"/>
    <w:qFormat/>
    <w:uiPriority w:val="0"/>
    <w:pPr>
      <w:spacing w:after="120"/>
      <w:ind w:left="420" w:leftChars="200"/>
    </w:pPr>
  </w:style>
  <w:style w:type="paragraph" w:styleId="24">
    <w:name w:val="List Number 3"/>
    <w:basedOn w:val="1"/>
    <w:qFormat/>
    <w:locked/>
    <w:uiPriority w:val="0"/>
    <w:pPr>
      <w:tabs>
        <w:tab w:val="left" w:pos="2120"/>
      </w:tabs>
      <w:adjustRightInd w:val="0"/>
      <w:snapToGrid w:val="0"/>
      <w:spacing w:line="360" w:lineRule="auto"/>
      <w:ind w:left="2120" w:hanging="720"/>
    </w:pPr>
    <w:rPr>
      <w:sz w:val="24"/>
      <w:szCs w:val="20"/>
    </w:rPr>
  </w:style>
  <w:style w:type="paragraph" w:styleId="25">
    <w:name w:val="List 2"/>
    <w:basedOn w:val="1"/>
    <w:qFormat/>
    <w:locked/>
    <w:uiPriority w:val="0"/>
    <w:pPr>
      <w:adjustRightInd w:val="0"/>
      <w:snapToGrid w:val="0"/>
      <w:spacing w:line="360" w:lineRule="auto"/>
      <w:ind w:left="100" w:leftChars="200" w:hanging="200" w:hangingChars="200"/>
    </w:pPr>
    <w:rPr>
      <w:sz w:val="24"/>
      <w:szCs w:val="20"/>
    </w:rPr>
  </w:style>
  <w:style w:type="paragraph" w:styleId="26">
    <w:name w:val="List Continue"/>
    <w:basedOn w:val="1"/>
    <w:qFormat/>
    <w:locked/>
    <w:uiPriority w:val="0"/>
    <w:pPr>
      <w:adjustRightInd w:val="0"/>
      <w:snapToGrid w:val="0"/>
      <w:spacing w:after="120" w:line="360" w:lineRule="auto"/>
      <w:ind w:left="420" w:leftChars="200"/>
    </w:pPr>
    <w:rPr>
      <w:sz w:val="24"/>
      <w:szCs w:val="20"/>
    </w:rPr>
  </w:style>
  <w:style w:type="paragraph" w:styleId="27">
    <w:name w:val="List Bullet 2"/>
    <w:basedOn w:val="1"/>
    <w:qFormat/>
    <w:locked/>
    <w:uiPriority w:val="0"/>
    <w:pPr>
      <w:tabs>
        <w:tab w:val="left" w:pos="780"/>
      </w:tabs>
      <w:adjustRightInd w:val="0"/>
      <w:snapToGrid w:val="0"/>
      <w:spacing w:line="360" w:lineRule="auto"/>
      <w:ind w:left="780" w:hanging="360"/>
    </w:pPr>
    <w:rPr>
      <w:sz w:val="24"/>
      <w:szCs w:val="20"/>
    </w:rPr>
  </w:style>
  <w:style w:type="paragraph" w:styleId="28">
    <w:name w:val="toc 5"/>
    <w:basedOn w:val="1"/>
    <w:next w:val="1"/>
    <w:qFormat/>
    <w:uiPriority w:val="0"/>
    <w:pPr>
      <w:ind w:left="1680" w:leftChars="800"/>
    </w:pPr>
    <w:rPr>
      <w:sz w:val="28"/>
      <w:szCs w:val="20"/>
    </w:rPr>
  </w:style>
  <w:style w:type="paragraph" w:styleId="29">
    <w:name w:val="toc 3"/>
    <w:basedOn w:val="1"/>
    <w:next w:val="1"/>
    <w:qFormat/>
    <w:uiPriority w:val="39"/>
    <w:pPr>
      <w:ind w:left="400" w:leftChars="400"/>
    </w:pPr>
  </w:style>
  <w:style w:type="paragraph" w:styleId="30">
    <w:name w:val="Plain Text"/>
    <w:basedOn w:val="1"/>
    <w:link w:val="126"/>
    <w:qFormat/>
    <w:locked/>
    <w:uiPriority w:val="0"/>
    <w:rPr>
      <w:rFonts w:ascii="宋体" w:hAnsi="Courier New"/>
      <w:szCs w:val="20"/>
    </w:rPr>
  </w:style>
  <w:style w:type="paragraph" w:styleId="31">
    <w:name w:val="toc 8"/>
    <w:basedOn w:val="1"/>
    <w:next w:val="1"/>
    <w:uiPriority w:val="0"/>
    <w:pPr>
      <w:ind w:left="2940" w:leftChars="1400"/>
    </w:pPr>
    <w:rPr>
      <w:sz w:val="28"/>
      <w:szCs w:val="20"/>
    </w:rPr>
  </w:style>
  <w:style w:type="paragraph" w:styleId="32">
    <w:name w:val="Date"/>
    <w:basedOn w:val="1"/>
    <w:next w:val="1"/>
    <w:link w:val="162"/>
    <w:locked/>
    <w:uiPriority w:val="0"/>
    <w:rPr>
      <w:sz w:val="28"/>
      <w:szCs w:val="20"/>
    </w:rPr>
  </w:style>
  <w:style w:type="paragraph" w:styleId="33">
    <w:name w:val="Body Text Indent 2"/>
    <w:basedOn w:val="1"/>
    <w:link w:val="71"/>
    <w:qFormat/>
    <w:uiPriority w:val="99"/>
    <w:pPr>
      <w:spacing w:line="480" w:lineRule="auto"/>
      <w:ind w:firstLine="720" w:firstLineChars="200"/>
    </w:pPr>
    <w:rPr>
      <w:rFonts w:ascii="??_GB2312" w:eastAsia="Times New Roman"/>
      <w:spacing w:val="20"/>
      <w:sz w:val="32"/>
    </w:rPr>
  </w:style>
  <w:style w:type="paragraph" w:styleId="34">
    <w:name w:val="Balloon Text"/>
    <w:basedOn w:val="1"/>
    <w:link w:val="72"/>
    <w:qFormat/>
    <w:uiPriority w:val="0"/>
    <w:rPr>
      <w:sz w:val="18"/>
      <w:szCs w:val="18"/>
    </w:rPr>
  </w:style>
  <w:style w:type="paragraph" w:styleId="35">
    <w:name w:val="footer"/>
    <w:basedOn w:val="1"/>
    <w:link w:val="73"/>
    <w:qFormat/>
    <w:uiPriority w:val="99"/>
    <w:pPr>
      <w:tabs>
        <w:tab w:val="center" w:pos="4153"/>
        <w:tab w:val="right" w:pos="8306"/>
      </w:tabs>
      <w:snapToGrid w:val="0"/>
      <w:jc w:val="left"/>
    </w:pPr>
    <w:rPr>
      <w:sz w:val="18"/>
      <w:szCs w:val="18"/>
    </w:rPr>
  </w:style>
  <w:style w:type="paragraph" w:styleId="36">
    <w:name w:val="header"/>
    <w:basedOn w:val="1"/>
    <w:link w:val="74"/>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pPr>
      <w:spacing w:line="180" w:lineRule="auto"/>
      <w:jc w:val="center"/>
    </w:pPr>
    <w:rPr>
      <w:sz w:val="30"/>
      <w:szCs w:val="20"/>
    </w:rPr>
  </w:style>
  <w:style w:type="paragraph" w:styleId="38">
    <w:name w:val="List Continue 4"/>
    <w:basedOn w:val="1"/>
    <w:locked/>
    <w:uiPriority w:val="0"/>
    <w:pPr>
      <w:adjustRightInd w:val="0"/>
      <w:snapToGrid w:val="0"/>
      <w:spacing w:after="120" w:line="360" w:lineRule="auto"/>
      <w:ind w:left="1680" w:leftChars="800"/>
    </w:pPr>
    <w:rPr>
      <w:sz w:val="24"/>
      <w:szCs w:val="20"/>
    </w:rPr>
  </w:style>
  <w:style w:type="paragraph" w:styleId="39">
    <w:name w:val="toc 4"/>
    <w:basedOn w:val="1"/>
    <w:next w:val="1"/>
    <w:uiPriority w:val="0"/>
    <w:pPr>
      <w:ind w:left="1260" w:leftChars="600"/>
    </w:pPr>
    <w:rPr>
      <w:sz w:val="28"/>
      <w:szCs w:val="20"/>
    </w:rPr>
  </w:style>
  <w:style w:type="paragraph" w:styleId="40">
    <w:name w:val="footnote text"/>
    <w:basedOn w:val="1"/>
    <w:link w:val="152"/>
    <w:locked/>
    <w:uiPriority w:val="0"/>
    <w:pPr>
      <w:spacing w:line="360" w:lineRule="auto"/>
    </w:pPr>
    <w:rPr>
      <w:sz w:val="18"/>
      <w:szCs w:val="20"/>
    </w:rPr>
  </w:style>
  <w:style w:type="paragraph" w:styleId="41">
    <w:name w:val="toc 6"/>
    <w:basedOn w:val="1"/>
    <w:next w:val="1"/>
    <w:uiPriority w:val="0"/>
    <w:pPr>
      <w:ind w:left="2100" w:leftChars="1000"/>
    </w:pPr>
    <w:rPr>
      <w:sz w:val="28"/>
      <w:szCs w:val="20"/>
    </w:rPr>
  </w:style>
  <w:style w:type="paragraph" w:styleId="42">
    <w:name w:val="List 5"/>
    <w:basedOn w:val="1"/>
    <w:locked/>
    <w:uiPriority w:val="0"/>
    <w:pPr>
      <w:adjustRightInd w:val="0"/>
      <w:snapToGrid w:val="0"/>
      <w:spacing w:line="360" w:lineRule="auto"/>
      <w:ind w:left="100" w:leftChars="800" w:hanging="200" w:hangingChars="200"/>
    </w:pPr>
    <w:rPr>
      <w:sz w:val="24"/>
      <w:szCs w:val="20"/>
    </w:rPr>
  </w:style>
  <w:style w:type="paragraph" w:styleId="43">
    <w:name w:val="Body Text Indent 3"/>
    <w:basedOn w:val="1"/>
    <w:link w:val="171"/>
    <w:locked/>
    <w:uiPriority w:val="0"/>
    <w:pPr>
      <w:spacing w:line="360" w:lineRule="auto"/>
      <w:ind w:firstLine="632"/>
    </w:pPr>
    <w:rPr>
      <w:rFonts w:ascii="黑体" w:eastAsia="黑体"/>
      <w:sz w:val="28"/>
      <w:szCs w:val="20"/>
    </w:rPr>
  </w:style>
  <w:style w:type="paragraph" w:styleId="44">
    <w:name w:val="table of figures"/>
    <w:basedOn w:val="1"/>
    <w:next w:val="1"/>
    <w:locked/>
    <w:uiPriority w:val="0"/>
    <w:pPr>
      <w:tabs>
        <w:tab w:val="right" w:leader="dot" w:pos="8640"/>
      </w:tabs>
      <w:spacing w:line="360" w:lineRule="auto"/>
      <w:ind w:left="400" w:hanging="400"/>
    </w:pPr>
    <w:rPr>
      <w:sz w:val="24"/>
      <w:szCs w:val="20"/>
    </w:rPr>
  </w:style>
  <w:style w:type="paragraph" w:styleId="45">
    <w:name w:val="toc 2"/>
    <w:basedOn w:val="1"/>
    <w:next w:val="1"/>
    <w:qFormat/>
    <w:uiPriority w:val="39"/>
    <w:pPr>
      <w:ind w:left="200" w:leftChars="200"/>
    </w:pPr>
  </w:style>
  <w:style w:type="paragraph" w:styleId="46">
    <w:name w:val="toc 9"/>
    <w:basedOn w:val="1"/>
    <w:next w:val="1"/>
    <w:uiPriority w:val="0"/>
    <w:pPr>
      <w:ind w:left="3360" w:leftChars="1600"/>
    </w:pPr>
    <w:rPr>
      <w:sz w:val="28"/>
      <w:szCs w:val="20"/>
    </w:rPr>
  </w:style>
  <w:style w:type="paragraph" w:styleId="47">
    <w:name w:val="Body Text 2"/>
    <w:basedOn w:val="1"/>
    <w:link w:val="201"/>
    <w:locked/>
    <w:uiPriority w:val="0"/>
    <w:pPr>
      <w:adjustRightInd w:val="0"/>
      <w:snapToGrid w:val="0"/>
      <w:spacing w:after="120" w:line="480" w:lineRule="auto"/>
    </w:pPr>
    <w:rPr>
      <w:sz w:val="24"/>
      <w:szCs w:val="20"/>
    </w:rPr>
  </w:style>
  <w:style w:type="paragraph" w:styleId="48">
    <w:name w:val="List 4"/>
    <w:basedOn w:val="1"/>
    <w:locked/>
    <w:uiPriority w:val="0"/>
    <w:pPr>
      <w:adjustRightInd w:val="0"/>
      <w:snapToGrid w:val="0"/>
      <w:spacing w:line="360" w:lineRule="auto"/>
      <w:ind w:left="100" w:leftChars="600" w:hanging="200" w:hangingChars="200"/>
    </w:pPr>
    <w:rPr>
      <w:sz w:val="24"/>
      <w:szCs w:val="20"/>
    </w:rPr>
  </w:style>
  <w:style w:type="paragraph" w:styleId="49">
    <w:name w:val="List Continue 2"/>
    <w:basedOn w:val="1"/>
    <w:locked/>
    <w:uiPriority w:val="0"/>
    <w:pPr>
      <w:adjustRightInd w:val="0"/>
      <w:snapToGrid w:val="0"/>
      <w:spacing w:after="120" w:line="360" w:lineRule="auto"/>
      <w:ind w:left="840" w:leftChars="400"/>
    </w:pPr>
    <w:rPr>
      <w:sz w:val="24"/>
      <w:szCs w:val="20"/>
    </w:rPr>
  </w:style>
  <w:style w:type="paragraph" w:styleId="50">
    <w:name w:val="Normal (Web)"/>
    <w:basedOn w:val="1"/>
    <w:qFormat/>
    <w:uiPriority w:val="0"/>
    <w:pPr>
      <w:spacing w:before="100" w:beforeAutospacing="1" w:after="100" w:afterAutospacing="1"/>
      <w:jc w:val="left"/>
    </w:pPr>
    <w:rPr>
      <w:kern w:val="0"/>
      <w:sz w:val="24"/>
    </w:rPr>
  </w:style>
  <w:style w:type="paragraph" w:styleId="51">
    <w:name w:val="List Continue 3"/>
    <w:basedOn w:val="1"/>
    <w:locked/>
    <w:uiPriority w:val="0"/>
    <w:pPr>
      <w:adjustRightInd w:val="0"/>
      <w:snapToGrid w:val="0"/>
      <w:spacing w:after="120" w:line="360" w:lineRule="auto"/>
      <w:ind w:left="1260" w:leftChars="600"/>
    </w:pPr>
    <w:rPr>
      <w:sz w:val="24"/>
      <w:szCs w:val="20"/>
    </w:rPr>
  </w:style>
  <w:style w:type="paragraph" w:styleId="52">
    <w:name w:val="index 1"/>
    <w:basedOn w:val="1"/>
    <w:next w:val="1"/>
    <w:locked/>
    <w:uiPriority w:val="0"/>
    <w:pPr>
      <w:adjustRightInd w:val="0"/>
      <w:spacing w:line="240" w:lineRule="atLeast"/>
      <w:textAlignment w:val="baseline"/>
    </w:pPr>
    <w:rPr>
      <w:rFonts w:ascii="宋体"/>
      <w:kern w:val="0"/>
      <w:szCs w:val="20"/>
    </w:rPr>
  </w:style>
  <w:style w:type="paragraph" w:styleId="53">
    <w:name w:val="Title"/>
    <w:basedOn w:val="1"/>
    <w:link w:val="119"/>
    <w:qFormat/>
    <w:uiPriority w:val="0"/>
    <w:pPr>
      <w:widowControl/>
      <w:spacing w:after="240" w:line="360" w:lineRule="auto"/>
      <w:jc w:val="center"/>
    </w:pPr>
    <w:rPr>
      <w:rFonts w:ascii="Arial" w:hAnsi="Arial"/>
      <w:b/>
      <w:smallCaps/>
      <w:kern w:val="28"/>
      <w:sz w:val="36"/>
      <w:szCs w:val="20"/>
      <w:lang w:eastAsia="en-US"/>
    </w:rPr>
  </w:style>
  <w:style w:type="paragraph" w:styleId="54">
    <w:name w:val="annotation subject"/>
    <w:basedOn w:val="19"/>
    <w:next w:val="19"/>
    <w:link w:val="168"/>
    <w:locked/>
    <w:uiPriority w:val="0"/>
    <w:rPr>
      <w:kern w:val="0"/>
      <w:sz w:val="24"/>
      <w:szCs w:val="20"/>
    </w:rPr>
  </w:style>
  <w:style w:type="paragraph" w:styleId="55">
    <w:name w:val="Body Text First Indent"/>
    <w:basedOn w:val="1"/>
    <w:link w:val="200"/>
    <w:locked/>
    <w:uiPriority w:val="0"/>
    <w:pPr>
      <w:spacing w:line="360" w:lineRule="auto"/>
      <w:ind w:firstLine="420"/>
    </w:pPr>
    <w:rPr>
      <w:rFonts w:ascii="宋体" w:hAnsi="宋体"/>
      <w:sz w:val="24"/>
      <w:szCs w:val="20"/>
    </w:rPr>
  </w:style>
  <w:style w:type="paragraph" w:styleId="56">
    <w:name w:val="Body Text First Indent 2"/>
    <w:basedOn w:val="23"/>
    <w:link w:val="134"/>
    <w:locked/>
    <w:uiPriority w:val="0"/>
    <w:pPr>
      <w:ind w:firstLine="420" w:firstLineChars="200"/>
    </w:pPr>
    <w:rPr>
      <w:sz w:val="44"/>
      <w:szCs w:val="20"/>
    </w:rPr>
  </w:style>
  <w:style w:type="table" w:styleId="58">
    <w:name w:val="Table Grid"/>
    <w:basedOn w:val="5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basedOn w:val="59"/>
    <w:qFormat/>
    <w:uiPriority w:val="0"/>
    <w:rPr>
      <w:rFonts w:cs="Times New Roman"/>
    </w:rPr>
  </w:style>
  <w:style w:type="character" w:styleId="62">
    <w:name w:val="FollowedHyperlink"/>
    <w:locked/>
    <w:uiPriority w:val="0"/>
    <w:rPr>
      <w:color w:val="800080"/>
      <w:u w:val="single"/>
    </w:rPr>
  </w:style>
  <w:style w:type="character" w:styleId="63">
    <w:name w:val="Emphasis"/>
    <w:qFormat/>
    <w:uiPriority w:val="0"/>
    <w:rPr>
      <w:i/>
    </w:rPr>
  </w:style>
  <w:style w:type="character" w:styleId="64">
    <w:name w:val="Hyperlink"/>
    <w:basedOn w:val="59"/>
    <w:qFormat/>
    <w:uiPriority w:val="99"/>
    <w:rPr>
      <w:rFonts w:cs="Times New Roman"/>
      <w:color w:val="0000FF"/>
      <w:u w:val="single"/>
    </w:rPr>
  </w:style>
  <w:style w:type="character" w:styleId="65">
    <w:name w:val="annotation reference"/>
    <w:locked/>
    <w:uiPriority w:val="0"/>
    <w:rPr>
      <w:sz w:val="21"/>
      <w:szCs w:val="21"/>
    </w:rPr>
  </w:style>
  <w:style w:type="character" w:styleId="66">
    <w:name w:val="footnote reference"/>
    <w:locked/>
    <w:uiPriority w:val="0"/>
    <w:rPr>
      <w:position w:val="6"/>
      <w:sz w:val="14"/>
      <w:vertAlign w:val="superscript"/>
    </w:rPr>
  </w:style>
  <w:style w:type="character" w:customStyle="1" w:styleId="67">
    <w:name w:val="标题 2 Char"/>
    <w:basedOn w:val="59"/>
    <w:link w:val="3"/>
    <w:qFormat/>
    <w:locked/>
    <w:uiPriority w:val="0"/>
    <w:rPr>
      <w:rFonts w:ascii="Cambria" w:hAnsi="Cambria" w:eastAsia="宋体" w:cs="Times New Roman"/>
      <w:b/>
      <w:bCs/>
      <w:sz w:val="32"/>
      <w:szCs w:val="32"/>
    </w:rPr>
  </w:style>
  <w:style w:type="character" w:customStyle="1" w:styleId="68">
    <w:name w:val="标题 3 Char"/>
    <w:basedOn w:val="59"/>
    <w:link w:val="4"/>
    <w:qFormat/>
    <w:locked/>
    <w:uiPriority w:val="0"/>
    <w:rPr>
      <w:rFonts w:cs="Times New Roman"/>
      <w:b/>
      <w:bCs/>
      <w:sz w:val="32"/>
      <w:szCs w:val="32"/>
    </w:rPr>
  </w:style>
  <w:style w:type="character" w:customStyle="1" w:styleId="69">
    <w:name w:val="正文文本 Char"/>
    <w:basedOn w:val="59"/>
    <w:link w:val="22"/>
    <w:semiHidden/>
    <w:qFormat/>
    <w:locked/>
    <w:uiPriority w:val="99"/>
    <w:rPr>
      <w:rFonts w:cs="Times New Roman"/>
      <w:sz w:val="24"/>
      <w:szCs w:val="24"/>
    </w:rPr>
  </w:style>
  <w:style w:type="character" w:customStyle="1" w:styleId="70">
    <w:name w:val="正文文本缩进 Char"/>
    <w:basedOn w:val="59"/>
    <w:link w:val="23"/>
    <w:qFormat/>
    <w:locked/>
    <w:uiPriority w:val="0"/>
    <w:rPr>
      <w:rFonts w:cs="Times New Roman"/>
      <w:sz w:val="24"/>
      <w:szCs w:val="24"/>
    </w:rPr>
  </w:style>
  <w:style w:type="character" w:customStyle="1" w:styleId="71">
    <w:name w:val="正文文本缩进 2 Char"/>
    <w:basedOn w:val="59"/>
    <w:link w:val="33"/>
    <w:qFormat/>
    <w:locked/>
    <w:uiPriority w:val="99"/>
    <w:rPr>
      <w:rFonts w:cs="Times New Roman"/>
      <w:sz w:val="24"/>
      <w:szCs w:val="24"/>
    </w:rPr>
  </w:style>
  <w:style w:type="character" w:customStyle="1" w:styleId="72">
    <w:name w:val="批注框文本 Char"/>
    <w:basedOn w:val="59"/>
    <w:link w:val="34"/>
    <w:semiHidden/>
    <w:qFormat/>
    <w:locked/>
    <w:uiPriority w:val="99"/>
    <w:rPr>
      <w:rFonts w:cs="Times New Roman"/>
      <w:sz w:val="2"/>
    </w:rPr>
  </w:style>
  <w:style w:type="character" w:customStyle="1" w:styleId="73">
    <w:name w:val="页脚 Char"/>
    <w:basedOn w:val="59"/>
    <w:link w:val="35"/>
    <w:qFormat/>
    <w:locked/>
    <w:uiPriority w:val="99"/>
    <w:rPr>
      <w:rFonts w:cs="Times New Roman"/>
      <w:sz w:val="18"/>
      <w:szCs w:val="18"/>
    </w:rPr>
  </w:style>
  <w:style w:type="character" w:customStyle="1" w:styleId="74">
    <w:name w:val="页眉 Char"/>
    <w:basedOn w:val="59"/>
    <w:link w:val="36"/>
    <w:qFormat/>
    <w:locked/>
    <w:uiPriority w:val="99"/>
    <w:rPr>
      <w:rFonts w:cs="Times New Roman"/>
      <w:kern w:val="2"/>
      <w:sz w:val="18"/>
      <w:szCs w:val="18"/>
    </w:rPr>
  </w:style>
  <w:style w:type="character" w:customStyle="1" w:styleId="75">
    <w:name w:val="标题 1 Char"/>
    <w:basedOn w:val="59"/>
    <w:link w:val="2"/>
    <w:uiPriority w:val="0"/>
    <w:rPr>
      <w:rFonts w:ascii="宋体"/>
      <w:kern w:val="2"/>
      <w:sz w:val="28"/>
    </w:rPr>
  </w:style>
  <w:style w:type="character" w:customStyle="1" w:styleId="76">
    <w:name w:val="标题 4 Char"/>
    <w:basedOn w:val="59"/>
    <w:link w:val="5"/>
    <w:uiPriority w:val="0"/>
    <w:rPr>
      <w:rFonts w:ascii="Arial" w:hAnsi="Arial" w:eastAsia="黑体"/>
      <w:b/>
      <w:kern w:val="2"/>
      <w:sz w:val="28"/>
    </w:rPr>
  </w:style>
  <w:style w:type="character" w:customStyle="1" w:styleId="77">
    <w:name w:val="标题 5 Char"/>
    <w:basedOn w:val="59"/>
    <w:link w:val="6"/>
    <w:uiPriority w:val="0"/>
    <w:rPr>
      <w:b/>
      <w:kern w:val="2"/>
      <w:sz w:val="28"/>
    </w:rPr>
  </w:style>
  <w:style w:type="character" w:customStyle="1" w:styleId="78">
    <w:name w:val="标题 6 Char"/>
    <w:basedOn w:val="59"/>
    <w:link w:val="7"/>
    <w:uiPriority w:val="0"/>
    <w:rPr>
      <w:rFonts w:ascii="Arial" w:hAnsi="Arial" w:eastAsia="黑体"/>
      <w:b/>
      <w:kern w:val="2"/>
      <w:sz w:val="24"/>
    </w:rPr>
  </w:style>
  <w:style w:type="character" w:customStyle="1" w:styleId="79">
    <w:name w:val="标题 7 Char"/>
    <w:basedOn w:val="59"/>
    <w:link w:val="8"/>
    <w:uiPriority w:val="0"/>
    <w:rPr>
      <w:rFonts w:ascii="Arial" w:hAnsi="Arial" w:eastAsia="黑体"/>
      <w:b/>
      <w:kern w:val="2"/>
      <w:sz w:val="24"/>
    </w:rPr>
  </w:style>
  <w:style w:type="character" w:customStyle="1" w:styleId="80">
    <w:name w:val="标题 8 Char"/>
    <w:basedOn w:val="59"/>
    <w:link w:val="9"/>
    <w:uiPriority w:val="0"/>
    <w:rPr>
      <w:rFonts w:ascii="Arial" w:hAnsi="Arial" w:eastAsia="黑体"/>
      <w:b/>
      <w:kern w:val="2"/>
      <w:sz w:val="24"/>
    </w:rPr>
  </w:style>
  <w:style w:type="character" w:customStyle="1" w:styleId="81">
    <w:name w:val="标题 9 Char"/>
    <w:basedOn w:val="59"/>
    <w:link w:val="10"/>
    <w:uiPriority w:val="0"/>
    <w:rPr>
      <w:rFonts w:ascii="Arial" w:hAnsi="Arial" w:eastAsia="黑体"/>
      <w:b/>
      <w:kern w:val="2"/>
      <w:sz w:val="24"/>
    </w:rPr>
  </w:style>
  <w:style w:type="character" w:customStyle="1" w:styleId="82">
    <w:name w:val="批注文字 Char"/>
    <w:uiPriority w:val="0"/>
    <w:rPr>
      <w:sz w:val="24"/>
    </w:rPr>
  </w:style>
  <w:style w:type="character" w:customStyle="1" w:styleId="83">
    <w:name w:val="Char Char7"/>
    <w:qFormat/>
    <w:uiPriority w:val="0"/>
    <w:rPr>
      <w:rFonts w:ascii="宋体" w:hAnsi="宋体" w:eastAsia="宋体"/>
      <w:kern w:val="2"/>
      <w:sz w:val="28"/>
    </w:rPr>
  </w:style>
  <w:style w:type="character" w:customStyle="1" w:styleId="84">
    <w:name w:val="Char Char5"/>
    <w:uiPriority w:val="0"/>
    <w:rPr>
      <w:rFonts w:ascii="Arial" w:hAnsi="Arial" w:eastAsia="宋体"/>
      <w:b/>
      <w:smallCaps/>
      <w:kern w:val="28"/>
      <w:sz w:val="36"/>
      <w:lang w:val="en-US" w:eastAsia="en-US"/>
    </w:rPr>
  </w:style>
  <w:style w:type="character" w:customStyle="1" w:styleId="85">
    <w:name w:val="Char Char3"/>
    <w:uiPriority w:val="0"/>
    <w:rPr>
      <w:rFonts w:eastAsia="宋体"/>
      <w:kern w:val="2"/>
      <w:sz w:val="18"/>
      <w:lang w:val="en-US" w:eastAsia="zh-CN"/>
    </w:rPr>
  </w:style>
  <w:style w:type="character" w:customStyle="1" w:styleId="86">
    <w:name w:val="未命名11"/>
    <w:uiPriority w:val="0"/>
    <w:rPr>
      <w:color w:val="77FFFF"/>
      <w:sz w:val="24"/>
    </w:rPr>
  </w:style>
  <w:style w:type="character" w:customStyle="1" w:styleId="87">
    <w:name w:val="批注主题 Char"/>
    <w:basedOn w:val="82"/>
    <w:uiPriority w:val="0"/>
    <w:rPr>
      <w:sz w:val="24"/>
    </w:rPr>
  </w:style>
  <w:style w:type="character" w:customStyle="1" w:styleId="88">
    <w:name w:val="Table Text Char Char Char Char"/>
    <w:link w:val="89"/>
    <w:uiPriority w:val="0"/>
    <w:rPr>
      <w:rFonts w:ascii="Arial" w:hAnsi="Arial"/>
      <w:kern w:val="2"/>
      <w:sz w:val="18"/>
    </w:rPr>
  </w:style>
  <w:style w:type="paragraph" w:customStyle="1" w:styleId="89">
    <w:name w:val="Table Text Char Char Char"/>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日期 Char"/>
    <w:uiPriority w:val="0"/>
    <w:rPr>
      <w:kern w:val="2"/>
      <w:sz w:val="28"/>
    </w:rPr>
  </w:style>
  <w:style w:type="character" w:customStyle="1" w:styleId="91">
    <w:name w:val="纯文本 Char"/>
    <w:uiPriority w:val="0"/>
    <w:rPr>
      <w:rFonts w:ascii="宋体" w:hAnsi="Courier New"/>
      <w:kern w:val="2"/>
      <w:sz w:val="21"/>
    </w:rPr>
  </w:style>
  <w:style w:type="character" w:customStyle="1" w:styleId="92">
    <w:name w:val="Table Text Char1 Char"/>
    <w:uiPriority w:val="0"/>
    <w:rPr>
      <w:rFonts w:ascii="Arial" w:hAnsi="Arial"/>
      <w:kern w:val="2"/>
      <w:sz w:val="18"/>
      <w:lang w:val="en-US" w:eastAsia="zh-CN" w:bidi="ar-SA"/>
    </w:rPr>
  </w:style>
  <w:style w:type="character" w:customStyle="1" w:styleId="93">
    <w:name w:val="content-white1"/>
    <w:uiPriority w:val="0"/>
    <w:rPr>
      <w:color w:val="auto"/>
      <w:sz w:val="18"/>
      <w:u w:val="none"/>
    </w:rPr>
  </w:style>
  <w:style w:type="character" w:customStyle="1" w:styleId="94">
    <w:name w:val="Char Char4"/>
    <w:uiPriority w:val="0"/>
    <w:rPr>
      <w:rFonts w:eastAsia="宋体"/>
      <w:b/>
      <w:kern w:val="2"/>
      <w:sz w:val="21"/>
      <w:lang w:val="en-US" w:eastAsia="zh-CN"/>
    </w:rPr>
  </w:style>
  <w:style w:type="character" w:customStyle="1" w:styleId="95">
    <w:name w:val="title_emph1"/>
    <w:uiPriority w:val="0"/>
    <w:rPr>
      <w:rFonts w:hint="default" w:ascii="Arial" w:hAnsi="Arial"/>
      <w:b/>
      <w:sz w:val="20"/>
    </w:rPr>
  </w:style>
  <w:style w:type="character" w:customStyle="1" w:styleId="96">
    <w:name w:val="Char Char11"/>
    <w:uiPriority w:val="0"/>
    <w:rPr>
      <w:rFonts w:ascii="宋体"/>
      <w:kern w:val="2"/>
      <w:sz w:val="28"/>
    </w:rPr>
  </w:style>
  <w:style w:type="character" w:customStyle="1" w:styleId="97">
    <w:name w:val="脚注文本 Char"/>
    <w:uiPriority w:val="0"/>
    <w:rPr>
      <w:kern w:val="2"/>
      <w:sz w:val="18"/>
    </w:rPr>
  </w:style>
  <w:style w:type="character" w:customStyle="1" w:styleId="98">
    <w:name w:val="H2 Char"/>
    <w:uiPriority w:val="0"/>
    <w:rPr>
      <w:rFonts w:ascii="Arial" w:hAnsi="Arial" w:eastAsia="宋体"/>
      <w:kern w:val="2"/>
      <w:sz w:val="28"/>
      <w:lang w:val="en-US" w:eastAsia="zh-CN"/>
    </w:rPr>
  </w:style>
  <w:style w:type="character" w:customStyle="1" w:styleId="99">
    <w:name w:val="Char Char6"/>
    <w:uiPriority w:val="0"/>
    <w:rPr>
      <w:rFonts w:ascii="仿宋_GB2312" w:eastAsia="仿宋_GB2312"/>
      <w:kern w:val="2"/>
      <w:sz w:val="32"/>
    </w:rPr>
  </w:style>
  <w:style w:type="character" w:customStyle="1" w:styleId="100">
    <w:name w:val="标书正文:  0.74 厘米 Char1"/>
    <w:uiPriority w:val="0"/>
    <w:rPr>
      <w:rFonts w:eastAsia="宋体"/>
      <w:kern w:val="2"/>
      <w:sz w:val="24"/>
      <w:lang w:val="en-US" w:eastAsia="zh-CN"/>
    </w:rPr>
  </w:style>
  <w:style w:type="character" w:customStyle="1" w:styleId="101">
    <w:name w:val="正文首行缩进 2 Char"/>
    <w:basedOn w:val="70"/>
    <w:uiPriority w:val="0"/>
    <w:rPr>
      <w:rFonts w:cs="Times New Roman"/>
      <w:kern w:val="2"/>
      <w:sz w:val="44"/>
      <w:szCs w:val="24"/>
    </w:rPr>
  </w:style>
  <w:style w:type="character" w:customStyle="1" w:styleId="102">
    <w:name w:val="小 Char"/>
    <w:uiPriority w:val="0"/>
    <w:rPr>
      <w:rFonts w:ascii="宋体" w:hAnsi="Courier New" w:eastAsia="宋体"/>
      <w:kern w:val="2"/>
      <w:sz w:val="21"/>
      <w:lang w:val="en-US" w:eastAsia="zh-CN" w:bidi="ar-SA"/>
    </w:rPr>
  </w:style>
  <w:style w:type="character" w:customStyle="1" w:styleId="103">
    <w:name w:val="文字 Char"/>
    <w:link w:val="104"/>
    <w:uiPriority w:val="0"/>
    <w:rPr>
      <w:rFonts w:ascii="宋体"/>
      <w:kern w:val="2"/>
      <w:sz w:val="28"/>
    </w:rPr>
  </w:style>
  <w:style w:type="paragraph" w:customStyle="1" w:styleId="104">
    <w:name w:val="文字"/>
    <w:basedOn w:val="1"/>
    <w:link w:val="103"/>
    <w:qFormat/>
    <w:uiPriority w:val="0"/>
    <w:pPr>
      <w:tabs>
        <w:tab w:val="left" w:pos="8520"/>
      </w:tabs>
      <w:spacing w:line="312" w:lineRule="auto"/>
      <w:ind w:right="-210" w:firstLine="556"/>
    </w:pPr>
    <w:rPr>
      <w:rFonts w:ascii="宋体"/>
      <w:sz w:val="28"/>
      <w:szCs w:val="20"/>
    </w:rPr>
  </w:style>
  <w:style w:type="character" w:customStyle="1" w:styleId="105">
    <w:name w:val="正文 + 三号 Char"/>
    <w:qFormat/>
    <w:uiPriority w:val="0"/>
    <w:rPr>
      <w:rFonts w:eastAsia="宋体"/>
      <w:kern w:val="2"/>
      <w:sz w:val="21"/>
      <w:lang w:val="en-US" w:eastAsia="zh-CN"/>
    </w:rPr>
  </w:style>
  <w:style w:type="character" w:customStyle="1" w:styleId="106">
    <w:name w:val="Table Heading Char Char"/>
    <w:uiPriority w:val="0"/>
    <w:rPr>
      <w:rFonts w:ascii="Arial" w:hAnsi="Arial" w:eastAsia="黑体"/>
      <w:kern w:val="2"/>
      <w:sz w:val="18"/>
      <w:lang w:val="en-US" w:eastAsia="zh-CN"/>
    </w:rPr>
  </w:style>
  <w:style w:type="character" w:customStyle="1" w:styleId="107">
    <w:name w:val="crowed11"/>
    <w:uiPriority w:val="0"/>
    <w:rPr>
      <w:rFonts w:hint="default"/>
      <w:sz w:val="24"/>
    </w:rPr>
  </w:style>
  <w:style w:type="character" w:customStyle="1" w:styleId="108">
    <w:name w:val="font1"/>
    <w:uiPriority w:val="0"/>
    <w:rPr>
      <w:color w:val="000000"/>
      <w:sz w:val="18"/>
    </w:rPr>
  </w:style>
  <w:style w:type="character" w:customStyle="1" w:styleId="109">
    <w:name w:val="Char Char"/>
    <w:uiPriority w:val="0"/>
    <w:rPr>
      <w:rFonts w:ascii="宋体" w:hAnsi="宋体" w:eastAsia="宋体"/>
      <w:kern w:val="2"/>
      <w:sz w:val="24"/>
      <w:lang w:val="en-US" w:eastAsia="zh-CN" w:bidi="ar-SA"/>
    </w:rPr>
  </w:style>
  <w:style w:type="character" w:customStyle="1" w:styleId="110">
    <w:name w:val="样式 宋体"/>
    <w:uiPriority w:val="0"/>
    <w:rPr>
      <w:rFonts w:ascii="宋体" w:hAnsi="宋体" w:eastAsia="宋体"/>
      <w:sz w:val="28"/>
    </w:rPr>
  </w:style>
  <w:style w:type="character" w:customStyle="1" w:styleId="111">
    <w:name w:val="Char Char2"/>
    <w:uiPriority w:val="0"/>
    <w:rPr>
      <w:rFonts w:eastAsia="宋体"/>
      <w:kern w:val="2"/>
      <w:sz w:val="18"/>
      <w:lang w:val="en-US" w:eastAsia="zh-CN"/>
    </w:rPr>
  </w:style>
  <w:style w:type="character" w:customStyle="1" w:styleId="112">
    <w:name w:val="Table Text Char"/>
    <w:link w:val="113"/>
    <w:uiPriority w:val="0"/>
    <w:rPr>
      <w:rFonts w:ascii="Arial" w:hAnsi="Arial"/>
      <w:kern w:val="2"/>
      <w:sz w:val="18"/>
    </w:rPr>
  </w:style>
  <w:style w:type="paragraph" w:customStyle="1" w:styleId="113">
    <w:name w:val="Table Text"/>
    <w:link w:val="112"/>
    <w:uiPriority w:val="0"/>
    <w:pPr>
      <w:snapToGrid w:val="0"/>
      <w:spacing w:before="80" w:after="80"/>
    </w:pPr>
    <w:rPr>
      <w:rFonts w:ascii="Arial" w:hAnsi="Arial" w:eastAsia="宋体" w:cs="Times New Roman"/>
      <w:kern w:val="2"/>
      <w:sz w:val="18"/>
      <w:lang w:val="en-US" w:eastAsia="zh-CN" w:bidi="ar-SA"/>
    </w:rPr>
  </w:style>
  <w:style w:type="character" w:customStyle="1" w:styleId="114">
    <w:name w:val="v151"/>
    <w:uiPriority w:val="0"/>
    <w:rPr>
      <w:sz w:val="18"/>
    </w:rPr>
  </w:style>
  <w:style w:type="character" w:customStyle="1" w:styleId="115">
    <w:name w:val="top-det1"/>
    <w:uiPriority w:val="0"/>
    <w:rPr>
      <w:b/>
      <w:color w:val="000000"/>
    </w:rPr>
  </w:style>
  <w:style w:type="paragraph" w:customStyle="1" w:styleId="116">
    <w:name w:val="标题无"/>
    <w:basedOn w:val="1"/>
    <w:uiPriority w:val="0"/>
    <w:pPr>
      <w:spacing w:line="360" w:lineRule="auto"/>
    </w:pPr>
    <w:rPr>
      <w:sz w:val="24"/>
      <w:szCs w:val="20"/>
    </w:rPr>
  </w:style>
  <w:style w:type="paragraph" w:customStyle="1" w:styleId="117">
    <w:name w:val="表头样式"/>
    <w:basedOn w:val="1"/>
    <w:qFormat/>
    <w:uiPriority w:val="0"/>
    <w:pPr>
      <w:autoSpaceDE w:val="0"/>
      <w:autoSpaceDN w:val="0"/>
      <w:adjustRightInd w:val="0"/>
      <w:spacing w:line="360" w:lineRule="auto"/>
      <w:jc w:val="left"/>
    </w:pPr>
    <w:rPr>
      <w:b/>
      <w:kern w:val="0"/>
      <w:szCs w:val="20"/>
    </w:rPr>
  </w:style>
  <w:style w:type="paragraph" w:customStyle="1" w:styleId="118">
    <w:name w:val="00"/>
    <w:basedOn w:val="1"/>
    <w:qFormat/>
    <w:uiPriority w:val="0"/>
    <w:pPr>
      <w:autoSpaceDE w:val="0"/>
      <w:autoSpaceDN w:val="0"/>
      <w:adjustRightInd w:val="0"/>
      <w:jc w:val="left"/>
    </w:pPr>
    <w:rPr>
      <w:rFonts w:ascii="黑体" w:eastAsia="黑体"/>
      <w:b/>
      <w:kern w:val="0"/>
      <w:sz w:val="20"/>
      <w:szCs w:val="20"/>
    </w:rPr>
  </w:style>
  <w:style w:type="character" w:customStyle="1" w:styleId="119">
    <w:name w:val="标题 Char"/>
    <w:basedOn w:val="59"/>
    <w:link w:val="53"/>
    <w:uiPriority w:val="0"/>
    <w:rPr>
      <w:rFonts w:ascii="Arial" w:hAnsi="Arial"/>
      <w:b/>
      <w:smallCaps/>
      <w:kern w:val="28"/>
      <w:sz w:val="36"/>
      <w:lang w:eastAsia="en-US"/>
    </w:rPr>
  </w:style>
  <w:style w:type="paragraph" w:customStyle="1" w:styleId="120">
    <w:name w:val="样式1"/>
    <w:basedOn w:val="5"/>
    <w:uiPriority w:val="0"/>
    <w:pPr>
      <w:tabs>
        <w:tab w:val="left" w:pos="720"/>
      </w:tabs>
      <w:spacing w:before="500" w:after="260" w:line="560" w:lineRule="atLeast"/>
      <w:ind w:left="420" w:hanging="420"/>
    </w:pPr>
  </w:style>
  <w:style w:type="paragraph" w:customStyle="1" w:styleId="121">
    <w:name w:val="Char1 Char Char Char"/>
    <w:basedOn w:val="1"/>
    <w:uiPriority w:val="0"/>
    <w:rPr>
      <w:rFonts w:ascii="Tahoma" w:hAnsi="Tahoma"/>
      <w:sz w:val="30"/>
      <w:szCs w:val="20"/>
    </w:rPr>
  </w:style>
  <w:style w:type="paragraph" w:customStyle="1" w:styleId="122">
    <w:name w:val="二级条标题"/>
    <w:basedOn w:val="123"/>
    <w:next w:val="125"/>
    <w:uiPriority w:val="0"/>
    <w:pPr>
      <w:ind w:left="840"/>
      <w:outlineLvl w:val="3"/>
    </w:pPr>
  </w:style>
  <w:style w:type="paragraph" w:customStyle="1" w:styleId="123">
    <w:name w:val="一级条标题"/>
    <w:basedOn w:val="124"/>
    <w:next w:val="125"/>
    <w:uiPriority w:val="0"/>
    <w:pPr>
      <w:spacing w:beforeLines="0" w:afterLines="0"/>
      <w:ind w:left="525"/>
      <w:outlineLvl w:val="2"/>
    </w:pPr>
    <w:rPr>
      <w:sz w:val="21"/>
    </w:rPr>
  </w:style>
  <w:style w:type="paragraph" w:customStyle="1" w:styleId="124">
    <w:name w:val="章标题"/>
    <w:next w:val="1"/>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25">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6">
    <w:name w:val="纯文本 Char1"/>
    <w:basedOn w:val="59"/>
    <w:link w:val="30"/>
    <w:uiPriority w:val="0"/>
    <w:rPr>
      <w:rFonts w:ascii="宋体" w:hAnsi="Courier New" w:cs="Courier New"/>
      <w:kern w:val="2"/>
      <w:sz w:val="21"/>
      <w:szCs w:val="21"/>
    </w:rPr>
  </w:style>
  <w:style w:type="paragraph" w:customStyle="1" w:styleId="127">
    <w:name w:val="关键词"/>
    <w:basedOn w:val="1"/>
    <w:next w:val="1"/>
    <w:uiPriority w:val="0"/>
    <w:pPr>
      <w:spacing w:line="360" w:lineRule="auto"/>
    </w:pPr>
    <w:rPr>
      <w:rFonts w:eastAsia="黑体"/>
      <w:sz w:val="20"/>
      <w:szCs w:val="20"/>
    </w:rPr>
  </w:style>
  <w:style w:type="paragraph" w:customStyle="1" w:styleId="128">
    <w:name w:val="表头文本"/>
    <w:uiPriority w:val="0"/>
    <w:pPr>
      <w:jc w:val="center"/>
    </w:pPr>
    <w:rPr>
      <w:rFonts w:ascii="Arial" w:hAnsi="Arial" w:eastAsia="宋体" w:cs="Times New Roman"/>
      <w:b/>
      <w:sz w:val="21"/>
      <w:lang w:val="en-US" w:eastAsia="zh-CN" w:bidi="ar-SA"/>
    </w:rPr>
  </w:style>
  <w:style w:type="paragraph" w:customStyle="1" w:styleId="129">
    <w:name w:val="样式 样式 正文首行缩进 2 + 左  0 字符 + 首行缩进:  2.57 字符"/>
    <w:basedOn w:val="1"/>
    <w:next w:val="1"/>
    <w:uiPriority w:val="0"/>
    <w:pPr>
      <w:adjustRightInd w:val="0"/>
      <w:snapToGrid w:val="0"/>
      <w:spacing w:after="120"/>
      <w:ind w:firstLine="540" w:firstLineChars="257"/>
    </w:pPr>
    <w:rPr>
      <w:szCs w:val="20"/>
    </w:rPr>
  </w:style>
  <w:style w:type="paragraph" w:customStyle="1" w:styleId="130">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0"/>
    </w:rPr>
  </w:style>
  <w:style w:type="paragraph" w:customStyle="1" w:styleId="131">
    <w:name w:val="样式4"/>
    <w:basedOn w:val="5"/>
    <w:uiPriority w:val="0"/>
    <w:pPr>
      <w:adjustRightInd w:val="0"/>
      <w:snapToGrid w:val="0"/>
    </w:pPr>
  </w:style>
  <w:style w:type="paragraph" w:customStyle="1" w:styleId="132">
    <w:name w:val="Table Text Char1"/>
    <w:uiPriority w:val="0"/>
    <w:pPr>
      <w:snapToGrid w:val="0"/>
      <w:spacing w:before="80" w:after="80"/>
    </w:pPr>
    <w:rPr>
      <w:rFonts w:ascii="Arial" w:hAnsi="Arial" w:eastAsia="宋体" w:cs="Times New Roman"/>
      <w:kern w:val="2"/>
      <w:sz w:val="18"/>
      <w:lang w:val="en-US" w:eastAsia="zh-CN" w:bidi="ar-SA"/>
    </w:rPr>
  </w:style>
  <w:style w:type="paragraph" w:customStyle="1" w:styleId="133">
    <w:name w:val="表文字"/>
    <w:uiPriority w:val="0"/>
    <w:rPr>
      <w:rFonts w:ascii="宋体" w:hAnsi="Times New Roman" w:eastAsia="宋体" w:cs="Times New Roman"/>
      <w:kern w:val="2"/>
      <w:lang w:val="en-US" w:eastAsia="zh-CN" w:bidi="ar-SA"/>
    </w:rPr>
  </w:style>
  <w:style w:type="character" w:customStyle="1" w:styleId="134">
    <w:name w:val="正文首行缩进 2 Char1"/>
    <w:basedOn w:val="70"/>
    <w:link w:val="56"/>
    <w:semiHidden/>
    <w:uiPriority w:val="99"/>
    <w:rPr>
      <w:rFonts w:cs="Times New Roman"/>
      <w:kern w:val="2"/>
      <w:sz w:val="21"/>
      <w:szCs w:val="24"/>
    </w:rPr>
  </w:style>
  <w:style w:type="paragraph" w:customStyle="1" w:styleId="135">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136">
    <w:name w:val="1.正文"/>
    <w:basedOn w:val="1"/>
    <w:uiPriority w:val="0"/>
    <w:pPr>
      <w:spacing w:line="360" w:lineRule="auto"/>
      <w:ind w:left="540" w:leftChars="225" w:firstLine="540" w:firstLineChars="225"/>
    </w:pPr>
    <w:rPr>
      <w:sz w:val="24"/>
      <w:szCs w:val="20"/>
    </w:rPr>
  </w:style>
  <w:style w:type="paragraph" w:customStyle="1" w:styleId="137">
    <w:name w:val="IN Step"/>
    <w:basedOn w:val="1"/>
    <w:uiPriority w:val="0"/>
    <w:pPr>
      <w:keepLines/>
      <w:widowControl/>
      <w:tabs>
        <w:tab w:val="left" w:pos="1134"/>
      </w:tabs>
      <w:spacing w:before="80" w:after="80" w:line="300" w:lineRule="auto"/>
      <w:ind w:left="1134" w:hanging="907"/>
      <w:outlineLvl w:val="8"/>
    </w:pPr>
    <w:rPr>
      <w:rFonts w:ascii="Arial" w:hAnsi="Arial"/>
      <w:kern w:val="0"/>
      <w:szCs w:val="20"/>
    </w:rPr>
  </w:style>
  <w:style w:type="paragraph" w:customStyle="1" w:styleId="138">
    <w:name w:val="样式 标题 1 + 居中 段前: 6 磅 段后: 6 磅 行距: 1.5 倍行距"/>
    <w:basedOn w:val="2"/>
    <w:uiPriority w:val="0"/>
    <w:pPr>
      <w:keepLines/>
      <w:adjustRightInd w:val="0"/>
      <w:spacing w:before="120" w:after="120" w:line="360" w:lineRule="auto"/>
      <w:jc w:val="center"/>
    </w:pPr>
    <w:rPr>
      <w:rFonts w:ascii="Times New Roman"/>
      <w:b/>
      <w:kern w:val="44"/>
      <w:sz w:val="32"/>
    </w:rPr>
  </w:style>
  <w:style w:type="paragraph" w:customStyle="1" w:styleId="139">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szCs w:val="20"/>
    </w:rPr>
  </w:style>
  <w:style w:type="paragraph" w:customStyle="1" w:styleId="140">
    <w:name w:val="文档正文 Char Char Char Char"/>
    <w:basedOn w:val="1"/>
    <w:uiPriority w:val="0"/>
    <w:pPr>
      <w:adjustRightInd w:val="0"/>
      <w:spacing w:line="440" w:lineRule="exact"/>
      <w:ind w:firstLine="420"/>
      <w:textAlignment w:val="baseline"/>
    </w:pPr>
    <w:rPr>
      <w:rFonts w:ascii="Arial Narrow" w:hAnsi="Arial Narrow"/>
      <w:kern w:val="0"/>
      <w:sz w:val="24"/>
      <w:szCs w:val="20"/>
    </w:rPr>
  </w:style>
  <w:style w:type="paragraph" w:customStyle="1" w:styleId="141">
    <w:name w:val="表格正文"/>
    <w:basedOn w:val="1"/>
    <w:uiPriority w:val="0"/>
    <w:rPr>
      <w:rFonts w:ascii="Calibri" w:hAnsi="Calibri" w:eastAsia="仿宋" w:cs="宋体"/>
      <w:sz w:val="24"/>
      <w:szCs w:val="20"/>
    </w:rPr>
  </w:style>
  <w:style w:type="paragraph" w:customStyle="1" w:styleId="142">
    <w:name w:val="正文文本缩进 21"/>
    <w:basedOn w:val="1"/>
    <w:uiPriority w:val="0"/>
    <w:pPr>
      <w:adjustRightInd w:val="0"/>
      <w:spacing w:before="120"/>
      <w:ind w:firstLine="420"/>
      <w:textAlignment w:val="baseline"/>
    </w:pPr>
    <w:rPr>
      <w:sz w:val="24"/>
      <w:szCs w:val="20"/>
    </w:rPr>
  </w:style>
  <w:style w:type="paragraph" w:customStyle="1" w:styleId="143">
    <w:name w:val="修订1"/>
    <w:uiPriority w:val="0"/>
    <w:rPr>
      <w:rFonts w:ascii="Times New Roman" w:hAnsi="Times New Roman" w:eastAsia="宋体" w:cs="Times New Roman"/>
      <w:kern w:val="2"/>
      <w:sz w:val="21"/>
      <w:lang w:val="en-US" w:eastAsia="zh-CN" w:bidi="ar-SA"/>
    </w:rPr>
  </w:style>
  <w:style w:type="paragraph" w:customStyle="1" w:styleId="144">
    <w:name w:val="附录1"/>
    <w:basedOn w:val="1"/>
    <w:next w:val="1"/>
    <w:qFormat/>
    <w:uiPriority w:val="0"/>
    <w:pPr>
      <w:tabs>
        <w:tab w:val="left" w:pos="1304"/>
      </w:tabs>
      <w:ind w:left="425" w:hanging="425"/>
      <w:outlineLvl w:val="0"/>
    </w:pPr>
    <w:rPr>
      <w:rFonts w:ascii="黑体" w:hAnsi="黑体" w:eastAsia="黑体"/>
      <w:b/>
      <w:sz w:val="44"/>
      <w:szCs w:val="20"/>
    </w:rPr>
  </w:style>
  <w:style w:type="paragraph" w:customStyle="1" w:styleId="145">
    <w:name w:val="Char1"/>
    <w:basedOn w:val="1"/>
    <w:uiPriority w:val="0"/>
    <w:rPr>
      <w:szCs w:val="20"/>
    </w:rPr>
  </w:style>
  <w:style w:type="paragraph" w:customStyle="1" w:styleId="146">
    <w:name w:val="xl23"/>
    <w:basedOn w:val="1"/>
    <w:uiPriority w:val="0"/>
    <w:pPr>
      <w:widowControl/>
      <w:spacing w:before="100" w:beforeAutospacing="1" w:after="100" w:afterAutospacing="1" w:line="360" w:lineRule="auto"/>
      <w:textAlignment w:val="top"/>
    </w:pPr>
    <w:rPr>
      <w:kern w:val="0"/>
      <w:sz w:val="24"/>
      <w:szCs w:val="20"/>
    </w:rPr>
  </w:style>
  <w:style w:type="paragraph" w:customStyle="1" w:styleId="147">
    <w:name w:val="样式2"/>
    <w:basedOn w:val="5"/>
    <w:qFormat/>
    <w:uiPriority w:val="0"/>
    <w:pPr>
      <w:tabs>
        <w:tab w:val="left" w:pos="720"/>
      </w:tabs>
      <w:spacing w:before="560" w:line="400" w:lineRule="exact"/>
      <w:ind w:left="420" w:hanging="420"/>
      <w:jc w:val="center"/>
      <w:outlineLvl w:val="0"/>
    </w:pPr>
    <w:rPr>
      <w:b w:val="0"/>
      <w:sz w:val="44"/>
    </w:rPr>
  </w:style>
  <w:style w:type="paragraph" w:customStyle="1" w:styleId="148">
    <w:name w:val="正文字缩2字"/>
    <w:basedOn w:val="1"/>
    <w:qFormat/>
    <w:uiPriority w:val="0"/>
    <w:pPr>
      <w:spacing w:before="60" w:after="60" w:line="360" w:lineRule="auto"/>
      <w:ind w:left="200" w:leftChars="200" w:firstLine="200" w:firstLineChars="200"/>
    </w:pPr>
    <w:rPr>
      <w:sz w:val="24"/>
      <w:szCs w:val="20"/>
    </w:rPr>
  </w:style>
  <w:style w:type="paragraph" w:customStyle="1" w:styleId="149">
    <w:name w:val="样式 正文缩进正文（首行缩进两字）表正文正文非缩进特点标题4段1 + 首行缩进:  2 字符"/>
    <w:basedOn w:val="15"/>
    <w:uiPriority w:val="0"/>
    <w:pPr>
      <w:ind w:firstLine="480" w:firstLineChars="200"/>
    </w:pPr>
  </w:style>
  <w:style w:type="paragraph" w:customStyle="1" w:styleId="150">
    <w:name w:val="附录4"/>
    <w:basedOn w:val="1"/>
    <w:next w:val="1"/>
    <w:uiPriority w:val="0"/>
    <w:pPr>
      <w:widowControl/>
      <w:tabs>
        <w:tab w:val="left" w:pos="1134"/>
      </w:tabs>
      <w:spacing w:line="300" w:lineRule="auto"/>
      <w:ind w:left="1361" w:hanging="1361"/>
      <w:outlineLvl w:val="3"/>
    </w:pPr>
    <w:rPr>
      <w:rFonts w:ascii="Arial" w:hAnsi="Arial" w:eastAsia="黑体"/>
      <w:kern w:val="0"/>
      <w:sz w:val="28"/>
      <w:szCs w:val="20"/>
    </w:rPr>
  </w:style>
  <w:style w:type="paragraph" w:customStyle="1" w:styleId="151">
    <w:name w:val="Char1 Char Char Char1"/>
    <w:basedOn w:val="1"/>
    <w:uiPriority w:val="0"/>
    <w:rPr>
      <w:rFonts w:ascii="Tahoma" w:hAnsi="Tahoma"/>
      <w:sz w:val="24"/>
      <w:szCs w:val="20"/>
    </w:rPr>
  </w:style>
  <w:style w:type="character" w:customStyle="1" w:styleId="152">
    <w:name w:val="脚注文本 Char1"/>
    <w:basedOn w:val="59"/>
    <w:link w:val="40"/>
    <w:semiHidden/>
    <w:uiPriority w:val="99"/>
    <w:rPr>
      <w:kern w:val="2"/>
      <w:sz w:val="18"/>
      <w:szCs w:val="18"/>
    </w:rPr>
  </w:style>
  <w:style w:type="paragraph" w:customStyle="1" w:styleId="153">
    <w:name w:val="表头"/>
    <w:basedOn w:val="141"/>
    <w:uiPriority w:val="0"/>
    <w:pPr>
      <w:jc w:val="center"/>
    </w:pPr>
    <w:rPr>
      <w:b/>
      <w:bCs/>
    </w:rPr>
  </w:style>
  <w:style w:type="paragraph" w:customStyle="1" w:styleId="154">
    <w:name w:val="二级列表"/>
    <w:basedOn w:val="155"/>
    <w:next w:val="155"/>
    <w:uiPriority w:val="0"/>
    <w:pPr>
      <w:tabs>
        <w:tab w:val="left" w:pos="2120"/>
      </w:tabs>
      <w:ind w:firstLine="0" w:firstLineChars="0"/>
    </w:pPr>
    <w:rPr>
      <w:b/>
    </w:rPr>
  </w:style>
  <w:style w:type="paragraph" w:customStyle="1" w:styleId="155">
    <w:name w:val="段落正文"/>
    <w:basedOn w:val="1"/>
    <w:uiPriority w:val="0"/>
    <w:pPr>
      <w:spacing w:beforeLines="50" w:line="360" w:lineRule="auto"/>
      <w:ind w:firstLine="200" w:firstLineChars="200"/>
    </w:pPr>
    <w:rPr>
      <w:spacing w:val="2"/>
      <w:sz w:val="24"/>
      <w:szCs w:val="20"/>
    </w:rPr>
  </w:style>
  <w:style w:type="character" w:customStyle="1" w:styleId="156">
    <w:name w:val="正文文本 3 Char"/>
    <w:basedOn w:val="59"/>
    <w:link w:val="20"/>
    <w:uiPriority w:val="0"/>
    <w:rPr>
      <w:kern w:val="2"/>
      <w:sz w:val="16"/>
    </w:rPr>
  </w:style>
  <w:style w:type="paragraph" w:customStyle="1" w:styleId="157">
    <w:name w:val="IN Feature"/>
    <w:next w:val="137"/>
    <w:uiPriority w:val="0"/>
    <w:pPr>
      <w:keepNext/>
      <w:keepLines/>
      <w:spacing w:before="240" w:after="240"/>
      <w:outlineLvl w:val="7"/>
    </w:pPr>
    <w:rPr>
      <w:rFonts w:ascii="Arial" w:hAnsi="Arial" w:eastAsia="黑体" w:cs="Times New Roman"/>
      <w:sz w:val="21"/>
      <w:lang w:val="en-US" w:eastAsia="zh-CN" w:bidi="ar-SA"/>
    </w:rPr>
  </w:style>
  <w:style w:type="paragraph" w:customStyle="1" w:styleId="158">
    <w:name w:val="Title - Date"/>
    <w:basedOn w:val="53"/>
    <w:next w:val="1"/>
    <w:uiPriority w:val="0"/>
    <w:pPr>
      <w:spacing w:before="240" w:after="720"/>
    </w:pPr>
    <w:rPr>
      <w:sz w:val="28"/>
    </w:rPr>
  </w:style>
  <w:style w:type="paragraph" w:customStyle="1" w:styleId="159">
    <w:name w:val="Item Step"/>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0">
    <w:name w:val="正文1"/>
    <w:basedOn w:val="1"/>
    <w:uiPriority w:val="0"/>
    <w:pPr>
      <w:spacing w:line="300" w:lineRule="auto"/>
      <w:ind w:firstLine="200" w:firstLineChars="200"/>
    </w:pPr>
    <w:rPr>
      <w:sz w:val="24"/>
      <w:szCs w:val="20"/>
    </w:rPr>
  </w:style>
  <w:style w:type="paragraph" w:customStyle="1" w:styleId="161">
    <w:name w:val="内容标题"/>
    <w:basedOn w:val="17"/>
    <w:uiPriority w:val="0"/>
    <w:rPr>
      <w:rFonts w:ascii="Tahoma" w:hAnsi="Tahoma"/>
      <w:sz w:val="24"/>
    </w:rPr>
  </w:style>
  <w:style w:type="character" w:customStyle="1" w:styleId="162">
    <w:name w:val="日期 Char1"/>
    <w:basedOn w:val="59"/>
    <w:link w:val="32"/>
    <w:semiHidden/>
    <w:uiPriority w:val="99"/>
    <w:rPr>
      <w:kern w:val="2"/>
      <w:sz w:val="21"/>
      <w:szCs w:val="24"/>
    </w:rPr>
  </w:style>
  <w:style w:type="paragraph" w:customStyle="1" w:styleId="163">
    <w:name w:val="没有缩进（为图形使用）"/>
    <w:basedOn w:val="1"/>
    <w:uiPriority w:val="0"/>
    <w:pPr>
      <w:spacing w:before="120" w:after="120" w:line="360" w:lineRule="auto"/>
    </w:pPr>
    <w:rPr>
      <w:sz w:val="24"/>
      <w:szCs w:val="20"/>
    </w:rPr>
  </w:style>
  <w:style w:type="paragraph" w:customStyle="1" w:styleId="164">
    <w:name w:val="首行缩进 1"/>
    <w:basedOn w:val="1"/>
    <w:uiPriority w:val="0"/>
    <w:pPr>
      <w:spacing w:after="120" w:line="360" w:lineRule="auto"/>
      <w:ind w:firstLine="200" w:firstLineChars="200"/>
    </w:pPr>
    <w:rPr>
      <w:sz w:val="24"/>
      <w:szCs w:val="20"/>
    </w:rPr>
  </w:style>
  <w:style w:type="paragraph" w:customStyle="1" w:styleId="165">
    <w:name w:val="tabletext"/>
    <w:basedOn w:val="1"/>
    <w:uiPriority w:val="0"/>
    <w:pPr>
      <w:widowControl/>
      <w:spacing w:before="100" w:beforeAutospacing="1" w:after="100" w:afterAutospacing="1"/>
      <w:jc w:val="left"/>
    </w:pPr>
    <w:rPr>
      <w:rFonts w:ascii="宋体" w:hAnsi="宋体" w:cs="宋体"/>
      <w:kern w:val="0"/>
      <w:sz w:val="24"/>
    </w:rPr>
  </w:style>
  <w:style w:type="paragraph" w:customStyle="1" w:styleId="166">
    <w:name w:val="Table Text Char Char"/>
    <w:uiPriority w:val="0"/>
    <w:pPr>
      <w:snapToGrid w:val="0"/>
      <w:spacing w:before="80" w:after="80"/>
    </w:pPr>
    <w:rPr>
      <w:rFonts w:ascii="Arial" w:hAnsi="Arial" w:eastAsia="宋体" w:cs="Times New Roman"/>
      <w:kern w:val="2"/>
      <w:sz w:val="18"/>
      <w:lang w:val="en-US" w:eastAsia="zh-CN" w:bidi="ar-SA"/>
    </w:rPr>
  </w:style>
  <w:style w:type="character" w:customStyle="1" w:styleId="167">
    <w:name w:val="批注文字 Char1"/>
    <w:basedOn w:val="59"/>
    <w:link w:val="19"/>
    <w:uiPriority w:val="0"/>
    <w:rPr>
      <w:kern w:val="2"/>
      <w:sz w:val="21"/>
      <w:szCs w:val="24"/>
    </w:rPr>
  </w:style>
  <w:style w:type="character" w:customStyle="1" w:styleId="168">
    <w:name w:val="批注主题 Char1"/>
    <w:basedOn w:val="167"/>
    <w:link w:val="54"/>
    <w:semiHidden/>
    <w:uiPriority w:val="99"/>
    <w:rPr>
      <w:b/>
      <w:bCs/>
      <w:kern w:val="2"/>
      <w:sz w:val="21"/>
      <w:szCs w:val="24"/>
    </w:rPr>
  </w:style>
  <w:style w:type="paragraph" w:customStyle="1" w:styleId="169">
    <w:name w:val="样式 宋体 五号 行距: 单倍行距"/>
    <w:basedOn w:val="1"/>
    <w:uiPriority w:val="0"/>
    <w:pPr>
      <w:adjustRightInd w:val="0"/>
      <w:jc w:val="left"/>
    </w:pPr>
    <w:rPr>
      <w:rFonts w:ascii="宋体" w:hAnsi="宋体"/>
      <w:kern w:val="0"/>
      <w:szCs w:val="20"/>
    </w:rPr>
  </w:style>
  <w:style w:type="paragraph" w:customStyle="1" w:styleId="170">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71">
    <w:name w:val="正文文本缩进 3 Char"/>
    <w:basedOn w:val="59"/>
    <w:link w:val="43"/>
    <w:uiPriority w:val="0"/>
    <w:rPr>
      <w:rFonts w:ascii="黑体" w:eastAsia="黑体"/>
      <w:kern w:val="2"/>
      <w:sz w:val="28"/>
    </w:rPr>
  </w:style>
  <w:style w:type="paragraph" w:customStyle="1" w:styleId="172">
    <w:name w:val="content"/>
    <w:basedOn w:val="1"/>
    <w:uiPriority w:val="0"/>
    <w:pPr>
      <w:widowControl/>
      <w:spacing w:before="100" w:beforeAutospacing="1" w:after="100" w:afterAutospacing="1" w:line="280" w:lineRule="atLeast"/>
      <w:ind w:firstLine="375"/>
      <w:jc w:val="left"/>
    </w:pPr>
    <w:rPr>
      <w:rFonts w:ascii="宋体" w:hAnsi="宋体"/>
      <w:color w:val="000000"/>
      <w:kern w:val="0"/>
      <w:sz w:val="18"/>
      <w:szCs w:val="20"/>
    </w:rPr>
  </w:style>
  <w:style w:type="paragraph" w:customStyle="1" w:styleId="173">
    <w:name w:val="Char"/>
    <w:basedOn w:val="1"/>
    <w:uiPriority w:val="0"/>
    <w:pPr>
      <w:spacing w:line="240" w:lineRule="atLeast"/>
      <w:ind w:left="420" w:firstLine="420"/>
    </w:pPr>
    <w:rPr>
      <w:kern w:val="0"/>
      <w:szCs w:val="20"/>
    </w:rPr>
  </w:style>
  <w:style w:type="paragraph" w:customStyle="1" w:styleId="174">
    <w:name w:val="标书正文:  0.74 厘米"/>
    <w:basedOn w:val="1"/>
    <w:uiPriority w:val="0"/>
    <w:pPr>
      <w:snapToGrid w:val="0"/>
      <w:spacing w:line="360" w:lineRule="auto"/>
      <w:ind w:firstLine="420"/>
    </w:pPr>
    <w:rPr>
      <w:sz w:val="24"/>
      <w:szCs w:val="20"/>
    </w:rPr>
  </w:style>
  <w:style w:type="paragraph" w:customStyle="1" w:styleId="175">
    <w:name w:val="Char Char 字元 字元 字元 Char Char Char Char"/>
    <w:basedOn w:val="1"/>
    <w:uiPriority w:val="0"/>
    <w:pPr>
      <w:adjustRightInd w:val="0"/>
      <w:spacing w:line="360" w:lineRule="auto"/>
    </w:pPr>
    <w:rPr>
      <w:kern w:val="0"/>
      <w:sz w:val="24"/>
      <w:szCs w:val="20"/>
    </w:rPr>
  </w:style>
  <w:style w:type="paragraph" w:customStyle="1" w:styleId="176">
    <w:name w:val="列表项目"/>
    <w:basedOn w:val="1"/>
    <w:uiPriority w:val="0"/>
    <w:pPr>
      <w:tabs>
        <w:tab w:val="left" w:pos="420"/>
      </w:tabs>
      <w:spacing w:line="288" w:lineRule="auto"/>
      <w:ind w:left="840" w:leftChars="200" w:hanging="420" w:hangingChars="200"/>
    </w:pPr>
    <w:rPr>
      <w:szCs w:val="20"/>
    </w:rPr>
  </w:style>
  <w:style w:type="character" w:customStyle="1" w:styleId="177">
    <w:name w:val="文档结构图 Char"/>
    <w:basedOn w:val="59"/>
    <w:link w:val="17"/>
    <w:uiPriority w:val="0"/>
    <w:rPr>
      <w:kern w:val="2"/>
      <w:sz w:val="28"/>
      <w:shd w:val="clear" w:color="auto" w:fill="000080"/>
    </w:rPr>
  </w:style>
  <w:style w:type="paragraph" w:customStyle="1" w:styleId="178">
    <w:name w:val="表号"/>
    <w:basedOn w:val="1"/>
    <w:qFormat/>
    <w:uiPriority w:val="0"/>
    <w:pPr>
      <w:tabs>
        <w:tab w:val="left" w:pos="648"/>
      </w:tabs>
      <w:autoSpaceDE w:val="0"/>
      <w:autoSpaceDN w:val="0"/>
      <w:adjustRightInd w:val="0"/>
      <w:spacing w:before="210" w:after="210"/>
      <w:ind w:left="425" w:hanging="137"/>
      <w:jc w:val="center"/>
    </w:pPr>
    <w:rPr>
      <w:kern w:val="0"/>
      <w:szCs w:val="20"/>
      <w:lang w:eastAsia="en-US"/>
    </w:rPr>
  </w:style>
  <w:style w:type="paragraph" w:customStyle="1" w:styleId="179">
    <w:name w:val="可研正文"/>
    <w:basedOn w:val="22"/>
    <w:qFormat/>
    <w:uiPriority w:val="0"/>
    <w:pPr>
      <w:adjustRightInd w:val="0"/>
      <w:snapToGrid w:val="0"/>
      <w:spacing w:line="440" w:lineRule="exact"/>
      <w:ind w:firstLine="567"/>
    </w:pPr>
    <w:rPr>
      <w:rFonts w:ascii="仿宋_GB2312" w:eastAsia="仿宋_GB2312"/>
      <w:sz w:val="28"/>
      <w:szCs w:val="20"/>
    </w:rPr>
  </w:style>
  <w:style w:type="paragraph" w:customStyle="1" w:styleId="180">
    <w:name w:val="Title - Revision"/>
    <w:basedOn w:val="53"/>
    <w:uiPriority w:val="0"/>
    <w:pPr>
      <w:spacing w:before="720"/>
    </w:pPr>
  </w:style>
  <w:style w:type="paragraph" w:customStyle="1" w:styleId="181">
    <w:name w:val="样式 宋体 五号 两端对齐 行距: 单倍行距"/>
    <w:basedOn w:val="1"/>
    <w:uiPriority w:val="0"/>
    <w:pPr>
      <w:adjustRightInd w:val="0"/>
      <w:textAlignment w:val="baseline"/>
    </w:pPr>
    <w:rPr>
      <w:rFonts w:ascii="宋体" w:hAnsi="宋体"/>
      <w:kern w:val="0"/>
      <w:szCs w:val="20"/>
    </w:rPr>
  </w:style>
  <w:style w:type="paragraph" w:customStyle="1" w:styleId="182">
    <w:name w:val="Char Char1 Char"/>
    <w:basedOn w:val="1"/>
    <w:uiPriority w:val="0"/>
    <w:rPr>
      <w:rFonts w:ascii="Tahoma" w:hAnsi="Tahoma"/>
      <w:sz w:val="24"/>
    </w:rPr>
  </w:style>
  <w:style w:type="paragraph" w:customStyle="1" w:styleId="183">
    <w:name w:val="正文文本 21"/>
    <w:basedOn w:val="1"/>
    <w:uiPriority w:val="0"/>
    <w:pPr>
      <w:adjustRightInd w:val="0"/>
      <w:spacing w:before="120" w:line="360" w:lineRule="auto"/>
      <w:ind w:firstLine="480"/>
      <w:textAlignment w:val="baseline"/>
    </w:pPr>
    <w:rPr>
      <w:sz w:val="24"/>
      <w:szCs w:val="20"/>
    </w:rPr>
  </w:style>
  <w:style w:type="paragraph" w:customStyle="1" w:styleId="184">
    <w:name w:val="正文 + 三号"/>
    <w:basedOn w:val="1"/>
    <w:uiPriority w:val="0"/>
    <w:rPr>
      <w:szCs w:val="20"/>
    </w:rPr>
  </w:style>
  <w:style w:type="paragraph" w:customStyle="1" w:styleId="185">
    <w:name w:val="bt"/>
    <w:basedOn w:val="1"/>
    <w:next w:val="22"/>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szCs w:val="20"/>
    </w:rPr>
  </w:style>
  <w:style w:type="paragraph" w:customStyle="1" w:styleId="186">
    <w:name w:val="_"/>
    <w:basedOn w:val="1"/>
    <w:uiPriority w:val="0"/>
    <w:pPr>
      <w:adjustRightInd w:val="0"/>
      <w:spacing w:line="360" w:lineRule="auto"/>
      <w:ind w:left="480" w:firstLine="200" w:firstLineChars="200"/>
      <w:textAlignment w:val="baseline"/>
    </w:pPr>
    <w:rPr>
      <w:kern w:val="0"/>
      <w:sz w:val="24"/>
      <w:szCs w:val="20"/>
    </w:rPr>
  </w:style>
  <w:style w:type="paragraph" w:customStyle="1" w:styleId="187">
    <w:name w:val="样式 正文首行缩进 2 + 首行缩进:  2 字符"/>
    <w:basedOn w:val="1"/>
    <w:uiPriority w:val="0"/>
    <w:pPr>
      <w:tabs>
        <w:tab w:val="left" w:pos="987"/>
      </w:tabs>
      <w:adjustRightInd w:val="0"/>
      <w:snapToGrid w:val="0"/>
      <w:spacing w:line="360" w:lineRule="auto"/>
      <w:ind w:left="987" w:hanging="420"/>
    </w:pPr>
    <w:rPr>
      <w:rFonts w:ascii="Arial" w:hAnsi="Arial"/>
      <w:b/>
      <w:sz w:val="24"/>
      <w:szCs w:val="20"/>
    </w:rPr>
  </w:style>
  <w:style w:type="paragraph" w:customStyle="1" w:styleId="188">
    <w:name w:val="摘要"/>
    <w:basedOn w:val="1"/>
    <w:next w:val="3"/>
    <w:uiPriority w:val="0"/>
    <w:pPr>
      <w:spacing w:line="360" w:lineRule="auto"/>
    </w:pPr>
    <w:rPr>
      <w:rFonts w:eastAsia="黑体"/>
      <w:sz w:val="20"/>
      <w:szCs w:val="20"/>
    </w:rPr>
  </w:style>
  <w:style w:type="paragraph" w:customStyle="1" w:styleId="189">
    <w:name w:val="正文（首行不缩进）"/>
    <w:basedOn w:val="1"/>
    <w:uiPriority w:val="0"/>
    <w:pPr>
      <w:autoSpaceDE w:val="0"/>
      <w:autoSpaceDN w:val="0"/>
      <w:adjustRightInd w:val="0"/>
      <w:spacing w:line="360" w:lineRule="auto"/>
      <w:jc w:val="left"/>
    </w:pPr>
    <w:rPr>
      <w:kern w:val="0"/>
      <w:szCs w:val="20"/>
    </w:rPr>
  </w:style>
  <w:style w:type="paragraph" w:customStyle="1" w:styleId="190">
    <w:name w:val="CSS1级正文 Char"/>
    <w:basedOn w:val="22"/>
    <w:qFormat/>
    <w:uiPriority w:val="0"/>
    <w:pPr>
      <w:adjustRightInd w:val="0"/>
      <w:snapToGrid w:val="0"/>
      <w:spacing w:line="360" w:lineRule="auto"/>
      <w:ind w:firstLine="480"/>
    </w:pPr>
    <w:rPr>
      <w:sz w:val="24"/>
      <w:szCs w:val="20"/>
    </w:rPr>
  </w:style>
  <w:style w:type="paragraph" w:customStyle="1" w:styleId="191">
    <w:name w:val="Figure Description"/>
    <w:next w:val="1"/>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92">
    <w:name w:val="Char2 Char Char Char Char Char Char"/>
    <w:basedOn w:val="1"/>
    <w:uiPriority w:val="0"/>
    <w:rPr>
      <w:rFonts w:ascii="仿宋_GB2312"/>
      <w:b/>
      <w:sz w:val="30"/>
      <w:szCs w:val="20"/>
    </w:rPr>
  </w:style>
  <w:style w:type="paragraph" w:customStyle="1" w:styleId="193">
    <w:name w:val="Char Char Char Char Char Char1 Char"/>
    <w:basedOn w:val="1"/>
    <w:uiPriority w:val="0"/>
    <w:pPr>
      <w:widowControl/>
      <w:spacing w:after="160" w:line="240" w:lineRule="exact"/>
      <w:jc w:val="left"/>
    </w:pPr>
    <w:rPr>
      <w:rFonts w:ascii="Verdana" w:hAnsi="Verdana"/>
      <w:kern w:val="0"/>
      <w:szCs w:val="20"/>
      <w:lang w:eastAsia="en-US"/>
    </w:rPr>
  </w:style>
  <w:style w:type="paragraph" w:customStyle="1" w:styleId="194">
    <w:name w:val="默认段落字体 Para Char Char Char Char Char Char Char Char Char1 Char Char Char Char"/>
    <w:basedOn w:val="1"/>
    <w:qFormat/>
    <w:uiPriority w:val="0"/>
    <w:rPr>
      <w:rFonts w:ascii="Tahoma" w:hAnsi="Tahoma"/>
      <w:sz w:val="24"/>
      <w:szCs w:val="20"/>
    </w:rPr>
  </w:style>
  <w:style w:type="paragraph" w:customStyle="1" w:styleId="195">
    <w:name w:val="简单回函地址"/>
    <w:basedOn w:val="1"/>
    <w:uiPriority w:val="0"/>
    <w:pPr>
      <w:adjustRightInd w:val="0"/>
      <w:snapToGrid w:val="0"/>
      <w:spacing w:line="360" w:lineRule="auto"/>
    </w:pPr>
    <w:rPr>
      <w:sz w:val="24"/>
      <w:szCs w:val="20"/>
    </w:rPr>
  </w:style>
  <w:style w:type="paragraph" w:customStyle="1" w:styleId="196">
    <w:name w:val="样式1xz"/>
    <w:basedOn w:val="1"/>
    <w:uiPriority w:val="0"/>
    <w:pPr>
      <w:tabs>
        <w:tab w:val="left" w:pos="1050"/>
        <w:tab w:val="right" w:leader="dot" w:pos="8296"/>
      </w:tabs>
    </w:pPr>
    <w:rPr>
      <w:caps/>
      <w:spacing w:val="20"/>
      <w:sz w:val="24"/>
      <w:szCs w:val="20"/>
    </w:rPr>
  </w:style>
  <w:style w:type="paragraph" w:customStyle="1" w:styleId="197">
    <w:name w:val="Char Char1"/>
    <w:basedOn w:val="1"/>
    <w:uiPriority w:val="0"/>
    <w:pPr>
      <w:widowControl/>
      <w:spacing w:after="160" w:line="240" w:lineRule="exact"/>
      <w:jc w:val="left"/>
    </w:pPr>
    <w:rPr>
      <w:rFonts w:ascii="Verdana" w:hAnsi="Verdana"/>
      <w:kern w:val="0"/>
      <w:sz w:val="20"/>
      <w:szCs w:val="20"/>
      <w:lang w:eastAsia="en-US"/>
    </w:rPr>
  </w:style>
  <w:style w:type="paragraph" w:customStyle="1" w:styleId="198">
    <w:name w:val="Char2"/>
    <w:basedOn w:val="1"/>
    <w:uiPriority w:val="0"/>
    <w:pPr>
      <w:spacing w:line="240" w:lineRule="atLeast"/>
      <w:ind w:left="420" w:firstLine="420"/>
    </w:pPr>
    <w:rPr>
      <w:kern w:val="0"/>
      <w:szCs w:val="20"/>
    </w:rPr>
  </w:style>
  <w:style w:type="paragraph" w:customStyle="1" w:styleId="199">
    <w:name w:val="操作步骤"/>
    <w:basedOn w:val="1"/>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Cs w:val="20"/>
    </w:rPr>
  </w:style>
  <w:style w:type="character" w:customStyle="1" w:styleId="200">
    <w:name w:val="正文首行缩进 Char"/>
    <w:basedOn w:val="69"/>
    <w:link w:val="55"/>
    <w:uiPriority w:val="0"/>
    <w:rPr>
      <w:rFonts w:ascii="宋体" w:hAnsi="宋体" w:cs="Times New Roman"/>
      <w:kern w:val="2"/>
      <w:sz w:val="24"/>
      <w:szCs w:val="24"/>
    </w:rPr>
  </w:style>
  <w:style w:type="character" w:customStyle="1" w:styleId="201">
    <w:name w:val="正文文本 2 Char"/>
    <w:basedOn w:val="59"/>
    <w:link w:val="47"/>
    <w:uiPriority w:val="0"/>
    <w:rPr>
      <w:kern w:val="2"/>
      <w:sz w:val="24"/>
    </w:rPr>
  </w:style>
  <w:style w:type="paragraph" w:customStyle="1" w:styleId="202">
    <w:name w:val="样式 样式 首行缩进:  2 字符 + 首行缩进:  2 字符"/>
    <w:basedOn w:val="1"/>
    <w:uiPriority w:val="0"/>
    <w:pPr>
      <w:spacing w:line="360" w:lineRule="auto"/>
      <w:ind w:firstLine="480" w:firstLineChars="200"/>
    </w:pPr>
    <w:rPr>
      <w:sz w:val="24"/>
      <w:szCs w:val="20"/>
    </w:rPr>
  </w:style>
  <w:style w:type="paragraph" w:customStyle="1" w:styleId="203">
    <w:name w:val="小标题 1"/>
    <w:basedOn w:val="1"/>
    <w:uiPriority w:val="0"/>
    <w:pPr>
      <w:autoSpaceDE w:val="0"/>
      <w:autoSpaceDN w:val="0"/>
      <w:adjustRightInd w:val="0"/>
      <w:spacing w:line="360" w:lineRule="atLeast"/>
    </w:pPr>
    <w:rPr>
      <w:rFonts w:ascii="文鼎粗黑" w:eastAsia="文鼎粗黑"/>
      <w:kern w:val="0"/>
      <w:sz w:val="22"/>
      <w:szCs w:val="20"/>
    </w:rPr>
  </w:style>
  <w:style w:type="paragraph" w:customStyle="1" w:styleId="204">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szCs w:val="20"/>
    </w:rPr>
  </w:style>
  <w:style w:type="paragraph" w:customStyle="1" w:styleId="205">
    <w:name w:val="普通正文"/>
    <w:basedOn w:val="1"/>
    <w:uiPriority w:val="0"/>
    <w:pPr>
      <w:adjustRightInd w:val="0"/>
      <w:spacing w:before="120" w:after="120" w:line="360" w:lineRule="auto"/>
      <w:ind w:firstLine="480"/>
      <w:jc w:val="left"/>
      <w:textAlignment w:val="baseline"/>
    </w:pPr>
    <w:rPr>
      <w:rFonts w:ascii="Arial" w:hAnsi="Arial"/>
      <w:kern w:val="0"/>
      <w:sz w:val="24"/>
      <w:szCs w:val="20"/>
    </w:rPr>
  </w:style>
  <w:style w:type="paragraph" w:customStyle="1" w:styleId="206">
    <w:name w:val="文本1"/>
    <w:basedOn w:val="1"/>
    <w:uiPriority w:val="0"/>
    <w:pPr>
      <w:adjustRightInd w:val="0"/>
      <w:spacing w:line="312" w:lineRule="atLeast"/>
      <w:jc w:val="center"/>
      <w:textAlignment w:val="baseline"/>
    </w:pPr>
    <w:rPr>
      <w:kern w:val="0"/>
      <w:sz w:val="18"/>
      <w:szCs w:val="20"/>
    </w:rPr>
  </w:style>
  <w:style w:type="paragraph" w:customStyle="1" w:styleId="207">
    <w:name w:val="1"/>
    <w:basedOn w:val="1"/>
    <w:next w:val="30"/>
    <w:qFormat/>
    <w:uiPriority w:val="0"/>
    <w:rPr>
      <w:rFonts w:ascii="宋体" w:hAnsi="Courier New"/>
      <w:szCs w:val="20"/>
    </w:rPr>
  </w:style>
  <w:style w:type="paragraph" w:customStyle="1" w:styleId="20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209">
    <w:name w:val="Char Char Char Char Char Char Char"/>
    <w:basedOn w:val="17"/>
    <w:uiPriority w:val="0"/>
    <w:rPr>
      <w:rFonts w:ascii="宋体" w:hAnsi="Tahoma"/>
    </w:rPr>
  </w:style>
  <w:style w:type="paragraph" w:customStyle="1" w:styleId="210">
    <w:name w:val="Item Step in Table"/>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211">
    <w:name w:val="文档正文 Char Char Char Char Char"/>
    <w:basedOn w:val="1"/>
    <w:uiPriority w:val="0"/>
    <w:pPr>
      <w:adjustRightInd w:val="0"/>
      <w:spacing w:line="440" w:lineRule="exact"/>
      <w:ind w:firstLine="420"/>
      <w:textAlignment w:val="baseline"/>
    </w:pPr>
    <w:rPr>
      <w:rFonts w:ascii="Arial Narrow" w:hAnsi="Arial Narrow"/>
      <w:kern w:val="0"/>
      <w:sz w:val="24"/>
      <w:szCs w:val="20"/>
    </w:rPr>
  </w:style>
  <w:style w:type="paragraph" w:customStyle="1" w:styleId="212">
    <w:name w:val="首行缩进"/>
    <w:basedOn w:val="1"/>
    <w:uiPriority w:val="0"/>
    <w:pPr>
      <w:tabs>
        <w:tab w:val="left" w:pos="540"/>
      </w:tabs>
      <w:spacing w:line="360" w:lineRule="auto"/>
      <w:ind w:left="540"/>
    </w:pPr>
    <w:rPr>
      <w:rFonts w:eastAsia="仿宋_GB2312"/>
      <w:sz w:val="28"/>
      <w:szCs w:val="20"/>
    </w:rPr>
  </w:style>
  <w:style w:type="paragraph" w:customStyle="1" w:styleId="213">
    <w:name w:val="正文格式"/>
    <w:basedOn w:val="1"/>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szCs w:val="20"/>
    </w:rPr>
  </w:style>
  <w:style w:type="paragraph" w:customStyle="1" w:styleId="214">
    <w:name w:val="Item Lis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15">
    <w:name w:val="正文格式 Char"/>
    <w:basedOn w:val="1"/>
    <w:uiPriority w:val="0"/>
    <w:pPr>
      <w:widowControl/>
      <w:adjustRightInd w:val="0"/>
      <w:spacing w:line="440" w:lineRule="atLeast"/>
      <w:ind w:firstLine="510"/>
      <w:textAlignment w:val="baseline"/>
    </w:pPr>
    <w:rPr>
      <w:kern w:val="0"/>
      <w:sz w:val="24"/>
      <w:szCs w:val="20"/>
    </w:rPr>
  </w:style>
  <w:style w:type="paragraph" w:customStyle="1" w:styleId="216">
    <w:name w:val="Char Char14 Char Char"/>
    <w:basedOn w:val="1"/>
    <w:uiPriority w:val="0"/>
  </w:style>
  <w:style w:type="paragraph" w:customStyle="1" w:styleId="217">
    <w:name w:val="司法正文"/>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1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219">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220">
    <w:name w:val="标题5"/>
    <w:basedOn w:val="1"/>
    <w:uiPriority w:val="0"/>
    <w:pPr>
      <w:tabs>
        <w:tab w:val="left" w:pos="0"/>
      </w:tabs>
      <w:autoSpaceDE w:val="0"/>
      <w:autoSpaceDN w:val="0"/>
      <w:adjustRightInd w:val="0"/>
      <w:snapToGrid w:val="0"/>
      <w:spacing w:line="320" w:lineRule="atLeast"/>
    </w:pPr>
    <w:rPr>
      <w:rFonts w:ascii="宋体"/>
      <w:kern w:val="0"/>
      <w:szCs w:val="20"/>
    </w:rPr>
  </w:style>
  <w:style w:type="paragraph" w:customStyle="1" w:styleId="221">
    <w:name w:val="Char Char Char Char"/>
    <w:basedOn w:val="1"/>
    <w:uiPriority w:val="0"/>
    <w:pPr>
      <w:pageBreakBefore/>
      <w:widowControl/>
      <w:spacing w:after="160" w:line="240" w:lineRule="exact"/>
      <w:jc w:val="left"/>
    </w:pPr>
    <w:rPr>
      <w:rFonts w:ascii="Verdana" w:hAnsi="Verdana"/>
      <w:kern w:val="0"/>
      <w:sz w:val="20"/>
      <w:szCs w:val="20"/>
      <w:lang w:eastAsia="en-US"/>
    </w:rPr>
  </w:style>
  <w:style w:type="paragraph" w:customStyle="1" w:styleId="222">
    <w:name w:val="af"/>
    <w:basedOn w:val="1"/>
    <w:uiPriority w:val="0"/>
    <w:pPr>
      <w:widowControl/>
      <w:spacing w:line="300" w:lineRule="atLeast"/>
      <w:jc w:val="left"/>
    </w:pPr>
    <w:rPr>
      <w:rFonts w:ascii="宋体" w:hAnsi="宋体"/>
      <w:kern w:val="0"/>
      <w:sz w:val="18"/>
      <w:szCs w:val="20"/>
    </w:rPr>
  </w:style>
  <w:style w:type="paragraph" w:customStyle="1" w:styleId="223">
    <w:name w:val="图例"/>
    <w:basedOn w:val="1"/>
    <w:uiPriority w:val="0"/>
    <w:pPr>
      <w:spacing w:before="120" w:after="120" w:line="360" w:lineRule="auto"/>
      <w:jc w:val="center"/>
    </w:pPr>
    <w:rPr>
      <w:rFonts w:eastAsia="仿宋_GB2312"/>
      <w:b/>
      <w:sz w:val="24"/>
      <w:szCs w:val="20"/>
    </w:rPr>
  </w:style>
  <w:style w:type="paragraph" w:customStyle="1" w:styleId="224">
    <w:name w:val="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25">
    <w:name w:val="正文4"/>
    <w:basedOn w:val="1"/>
    <w:uiPriority w:val="0"/>
    <w:pPr>
      <w:tabs>
        <w:tab w:val="left" w:pos="1275"/>
      </w:tabs>
      <w:spacing w:before="60" w:after="60" w:line="360" w:lineRule="auto"/>
      <w:ind w:left="820" w:leftChars="400" w:hanging="705"/>
    </w:pPr>
    <w:rPr>
      <w:sz w:val="24"/>
      <w:szCs w:val="20"/>
    </w:rPr>
  </w:style>
  <w:style w:type="paragraph" w:customStyle="1" w:styleId="226">
    <w:name w:val="Char Char Char Char Char"/>
    <w:basedOn w:val="1"/>
    <w:uiPriority w:val="0"/>
    <w:pPr>
      <w:tabs>
        <w:tab w:val="left" w:pos="425"/>
      </w:tabs>
      <w:ind w:left="1620" w:hanging="360"/>
    </w:pPr>
    <w:rPr>
      <w:rFonts w:ascii="Tahoma" w:hAnsi="Tahoma"/>
      <w:sz w:val="24"/>
      <w:szCs w:val="20"/>
    </w:rPr>
  </w:style>
  <w:style w:type="paragraph" w:customStyle="1" w:styleId="227">
    <w:name w:val="默认段落字体 Para Char Char Char Char Char Char Char"/>
    <w:basedOn w:val="1"/>
    <w:uiPriority w:val="0"/>
    <w:rPr>
      <w:rFonts w:ascii="Tahoma" w:hAnsi="Tahoma"/>
      <w:sz w:val="24"/>
      <w:szCs w:val="20"/>
    </w:rPr>
  </w:style>
  <w:style w:type="paragraph" w:customStyle="1" w:styleId="228">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sz w:val="28"/>
      <w:szCs w:val="20"/>
      <w:lang w:val="zh-CN"/>
    </w:rPr>
  </w:style>
  <w:style w:type="paragraph" w:customStyle="1" w:styleId="229">
    <w:name w:val="编号正文"/>
    <w:basedOn w:val="230"/>
    <w:uiPriority w:val="0"/>
    <w:pPr>
      <w:snapToGrid/>
      <w:spacing w:line="360" w:lineRule="auto"/>
      <w:ind w:left="1407" w:hanging="1047"/>
      <w:jc w:val="left"/>
    </w:pPr>
    <w:rPr>
      <w:rFonts w:eastAsia="仿宋_GB2312"/>
    </w:rPr>
  </w:style>
  <w:style w:type="paragraph" w:customStyle="1" w:styleId="230">
    <w:name w:val="文档正文"/>
    <w:basedOn w:val="1"/>
    <w:uiPriority w:val="0"/>
    <w:pPr>
      <w:adjustRightInd w:val="0"/>
      <w:snapToGrid w:val="0"/>
      <w:spacing w:line="440" w:lineRule="exact"/>
      <w:ind w:firstLine="567"/>
      <w:textAlignment w:val="baseline"/>
    </w:pPr>
    <w:rPr>
      <w:rFonts w:ascii="Arial Narrow" w:hAnsi="Arial Narrow"/>
      <w:kern w:val="0"/>
      <w:sz w:val="24"/>
      <w:szCs w:val="20"/>
    </w:rPr>
  </w:style>
  <w:style w:type="paragraph" w:customStyle="1" w:styleId="231">
    <w:name w:val="表格内文字"/>
    <w:basedOn w:val="30"/>
    <w:uiPriority w:val="0"/>
    <w:pPr>
      <w:adjustRightInd w:val="0"/>
    </w:pPr>
    <w:rPr>
      <w:color w:val="000000"/>
      <w:lang w:val="en-GB"/>
    </w:rPr>
  </w:style>
  <w:style w:type="paragraph" w:customStyle="1" w:styleId="232">
    <w:name w:val="样式 行距: 1.5 倍行距1"/>
    <w:basedOn w:val="1"/>
    <w:uiPriority w:val="0"/>
    <w:pPr>
      <w:snapToGrid w:val="0"/>
    </w:pPr>
    <w:rPr>
      <w:szCs w:val="20"/>
    </w:rPr>
  </w:style>
  <w:style w:type="paragraph" w:customStyle="1" w:styleId="233">
    <w:name w:val="项目"/>
    <w:basedOn w:val="1"/>
    <w:uiPriority w:val="0"/>
    <w:pPr>
      <w:tabs>
        <w:tab w:val="left" w:pos="1280"/>
      </w:tabs>
      <w:spacing w:before="120" w:after="120" w:line="360" w:lineRule="auto"/>
      <w:ind w:left="-7" w:firstLine="567"/>
      <w:jc w:val="left"/>
      <w:textAlignment w:val="baseline"/>
    </w:pPr>
    <w:rPr>
      <w:rFonts w:ascii="宋体"/>
      <w:kern w:val="0"/>
      <w:sz w:val="24"/>
      <w:szCs w:val="20"/>
    </w:rPr>
  </w:style>
  <w:style w:type="paragraph" w:customStyle="1" w:styleId="234">
    <w:name w:val="表格文本"/>
    <w:uiPriority w:val="0"/>
    <w:pPr>
      <w:tabs>
        <w:tab w:val="decimal" w:pos="0"/>
      </w:tabs>
    </w:pPr>
    <w:rPr>
      <w:rFonts w:ascii="Arial" w:hAnsi="Arial" w:eastAsia="宋体" w:cs="Times New Roman"/>
      <w:sz w:val="21"/>
      <w:lang w:val="en-US" w:eastAsia="zh-CN" w:bidi="ar-SA"/>
    </w:rPr>
  </w:style>
  <w:style w:type="paragraph" w:customStyle="1" w:styleId="235">
    <w:name w:val="正文表格"/>
    <w:basedOn w:val="1"/>
    <w:uiPriority w:val="0"/>
    <w:pPr>
      <w:adjustRightInd w:val="0"/>
      <w:spacing w:before="40" w:after="40"/>
    </w:pPr>
    <w:rPr>
      <w:sz w:val="24"/>
      <w:szCs w:val="20"/>
    </w:rPr>
  </w:style>
  <w:style w:type="paragraph" w:customStyle="1" w:styleId="236">
    <w:name w:val="样式 首行缩进:  0.74 厘米"/>
    <w:basedOn w:val="1"/>
    <w:uiPriority w:val="0"/>
    <w:pPr>
      <w:spacing w:line="360" w:lineRule="auto"/>
      <w:ind w:firstLine="420"/>
    </w:pPr>
    <w:rPr>
      <w:sz w:val="24"/>
      <w:szCs w:val="20"/>
    </w:rPr>
  </w:style>
  <w:style w:type="paragraph" w:customStyle="1" w:styleId="237">
    <w:name w:val="Style Heading 3h3Heading 3 - oldLevel 3 HeadH3level_3PIM 3se..."/>
    <w:basedOn w:val="4"/>
    <w:qFormat/>
    <w:uiPriority w:val="0"/>
    <w:pPr>
      <w:tabs>
        <w:tab w:val="left" w:pos="709"/>
        <w:tab w:val="left" w:pos="1620"/>
      </w:tabs>
      <w:spacing w:line="413" w:lineRule="auto"/>
      <w:ind w:left="1620" w:hanging="360"/>
    </w:pPr>
    <w:rPr>
      <w:bCs w:val="0"/>
      <w:szCs w:val="20"/>
    </w:rPr>
  </w:style>
  <w:style w:type="paragraph" w:customStyle="1" w:styleId="238">
    <w:name w:val="Table Contents"/>
    <w:basedOn w:val="22"/>
    <w:qFormat/>
    <w:uiPriority w:val="0"/>
    <w:pPr>
      <w:suppressAutoHyphens/>
      <w:jc w:val="left"/>
    </w:pPr>
    <w:rPr>
      <w:rFonts w:eastAsia="Times New Roman"/>
      <w:kern w:val="0"/>
      <w:sz w:val="24"/>
      <w:szCs w:val="20"/>
    </w:rPr>
  </w:style>
  <w:style w:type="paragraph" w:customStyle="1" w:styleId="239">
    <w:name w:val="xl40"/>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0"/>
    </w:rPr>
  </w:style>
  <w:style w:type="paragraph" w:customStyle="1" w:styleId="240">
    <w:name w:val="标题2"/>
    <w:basedOn w:val="3"/>
    <w:uiPriority w:val="0"/>
    <w:pPr>
      <w:keepNext w:val="0"/>
      <w:keepLines w:val="0"/>
      <w:adjustRightInd w:val="0"/>
      <w:snapToGrid w:val="0"/>
      <w:spacing w:before="0" w:after="0" w:line="360" w:lineRule="auto"/>
      <w:ind w:firstLine="574" w:firstLineChars="196"/>
      <w:outlineLvl w:val="9"/>
    </w:pPr>
    <w:rPr>
      <w:rFonts w:ascii="宋体" w:hAnsi="宋体" w:eastAsia="宋体"/>
      <w:bCs w:val="0"/>
      <w:spacing w:val="6"/>
      <w:sz w:val="28"/>
      <w:szCs w:val="20"/>
      <w:u w:val="single"/>
    </w:rPr>
  </w:style>
  <w:style w:type="paragraph" w:customStyle="1" w:styleId="241">
    <w:name w:val="样式3"/>
    <w:basedOn w:val="2"/>
    <w:next w:val="2"/>
    <w:uiPriority w:val="0"/>
    <w:pPr>
      <w:keepLines/>
      <w:adjustRightInd w:val="0"/>
      <w:spacing w:before="340" w:after="330" w:line="576" w:lineRule="auto"/>
    </w:pPr>
    <w:rPr>
      <w:rFonts w:ascii="Times New Roman" w:eastAsia="黑体"/>
      <w:b/>
      <w:kern w:val="44"/>
      <w:sz w:val="44"/>
    </w:rPr>
  </w:style>
  <w:style w:type="paragraph" w:customStyle="1" w:styleId="242">
    <w:name w:val="标题3——2"/>
    <w:basedOn w:val="4"/>
    <w:next w:val="55"/>
    <w:uiPriority w:val="0"/>
    <w:pPr>
      <w:tabs>
        <w:tab w:val="left" w:pos="1280"/>
        <w:tab w:val="right" w:leader="dot" w:pos="8777"/>
      </w:tabs>
      <w:spacing w:beforeLines="100" w:after="0" w:line="240" w:lineRule="auto"/>
      <w:ind w:left="851" w:hanging="851"/>
      <w:outlineLvl w:val="9"/>
    </w:pPr>
    <w:rPr>
      <w:rFonts w:ascii="黑体" w:hAnsi="宋体" w:eastAsia="黑体"/>
      <w:bCs w:val="0"/>
      <w:sz w:val="30"/>
      <w:szCs w:val="20"/>
    </w:rPr>
  </w:style>
  <w:style w:type="paragraph" w:customStyle="1" w:styleId="243">
    <w:name w:val="Char Char Char Char Char Char Char Char Char Char Char Char Char Char Char Char"/>
    <w:basedOn w:val="1"/>
    <w:uiPriority w:val="0"/>
    <w:pPr>
      <w:tabs>
        <w:tab w:val="left" w:pos="360"/>
      </w:tabs>
    </w:pPr>
    <w:rPr>
      <w:sz w:val="24"/>
      <w:szCs w:val="20"/>
    </w:rPr>
  </w:style>
  <w:style w:type="paragraph" w:customStyle="1" w:styleId="244">
    <w:name w:val="附录3"/>
    <w:basedOn w:val="1"/>
    <w:next w:val="1"/>
    <w:uiPriority w:val="0"/>
    <w:pPr>
      <w:tabs>
        <w:tab w:val="left" w:pos="851"/>
      </w:tabs>
      <w:ind w:left="425" w:hanging="425"/>
      <w:outlineLvl w:val="2"/>
    </w:pPr>
    <w:rPr>
      <w:rFonts w:eastAsia="黑体"/>
      <w:b/>
      <w:sz w:val="32"/>
      <w:szCs w:val="20"/>
    </w:rPr>
  </w:style>
  <w:style w:type="paragraph" w:customStyle="1" w:styleId="245">
    <w:name w:val="style1"/>
    <w:basedOn w:val="1"/>
    <w:uiPriority w:val="0"/>
    <w:pPr>
      <w:widowControl/>
      <w:spacing w:before="100" w:beforeAutospacing="1" w:after="100" w:afterAutospacing="1"/>
      <w:jc w:val="left"/>
    </w:pPr>
    <w:rPr>
      <w:rFonts w:ascii="宋体" w:hAnsi="宋体"/>
      <w:kern w:val="0"/>
      <w:szCs w:val="20"/>
    </w:rPr>
  </w:style>
  <w:style w:type="paragraph" w:customStyle="1" w:styleId="246">
    <w:name w:val="缺省文本"/>
    <w:basedOn w:val="1"/>
    <w:uiPriority w:val="0"/>
    <w:pPr>
      <w:tabs>
        <w:tab w:val="left" w:pos="1260"/>
      </w:tabs>
      <w:autoSpaceDE w:val="0"/>
      <w:autoSpaceDN w:val="0"/>
      <w:adjustRightInd w:val="0"/>
      <w:spacing w:line="360" w:lineRule="auto"/>
      <w:jc w:val="left"/>
    </w:pPr>
    <w:rPr>
      <w:kern w:val="0"/>
      <w:sz w:val="24"/>
      <w:szCs w:val="20"/>
    </w:rPr>
  </w:style>
  <w:style w:type="paragraph" w:customStyle="1" w:styleId="247">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0"/>
    </w:rPr>
  </w:style>
  <w:style w:type="paragraph" w:customStyle="1" w:styleId="248">
    <w:name w:val="附录2"/>
    <w:basedOn w:val="1"/>
    <w:next w:val="1"/>
    <w:qFormat/>
    <w:uiPriority w:val="0"/>
    <w:pPr>
      <w:tabs>
        <w:tab w:val="left" w:pos="420"/>
        <w:tab w:val="left" w:pos="624"/>
      </w:tabs>
      <w:ind w:left="420" w:hanging="420"/>
      <w:outlineLvl w:val="1"/>
    </w:pPr>
    <w:rPr>
      <w:rFonts w:ascii="黑体" w:hAnsi="黑体" w:eastAsia="黑体"/>
      <w:b/>
      <w:sz w:val="32"/>
      <w:szCs w:val="20"/>
    </w:rPr>
  </w:style>
  <w:style w:type="paragraph" w:customStyle="1" w:styleId="249">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0">
    <w:name w:val="È±Ê¡ÎÄ±¾"/>
    <w:basedOn w:val="1"/>
    <w:uiPriority w:val="0"/>
    <w:pPr>
      <w:widowControl/>
      <w:overflowPunct w:val="0"/>
      <w:autoSpaceDE w:val="0"/>
      <w:autoSpaceDN w:val="0"/>
      <w:adjustRightInd w:val="0"/>
      <w:jc w:val="left"/>
      <w:textAlignment w:val="baseline"/>
    </w:pPr>
    <w:rPr>
      <w:kern w:val="0"/>
      <w:sz w:val="24"/>
      <w:szCs w:val="20"/>
    </w:rPr>
  </w:style>
  <w:style w:type="paragraph" w:customStyle="1" w:styleId="251">
    <w:name w:val="文章正文"/>
    <w:basedOn w:val="1"/>
    <w:uiPriority w:val="0"/>
    <w:pPr>
      <w:ind w:firstLine="560" w:firstLineChars="200"/>
    </w:pPr>
    <w:rPr>
      <w:rFonts w:ascii="仿宋_GB2312" w:hAnsi="宋体" w:eastAsia="仿宋_GB2312"/>
      <w:color w:val="000000"/>
      <w:sz w:val="28"/>
      <w:szCs w:val="20"/>
    </w:rPr>
  </w:style>
  <w:style w:type="paragraph" w:customStyle="1" w:styleId="252">
    <w:name w:val="Note"/>
    <w:basedOn w:val="1"/>
    <w:uiPriority w:val="0"/>
    <w:pPr>
      <w:pBdr>
        <w:top w:val="single" w:color="auto" w:sz="12" w:space="3"/>
        <w:bottom w:val="single" w:color="auto" w:sz="12" w:space="3"/>
      </w:pBdr>
      <w:spacing w:line="360" w:lineRule="auto"/>
    </w:pPr>
    <w:rPr>
      <w:sz w:val="24"/>
      <w:szCs w:val="20"/>
    </w:rPr>
  </w:style>
  <w:style w:type="paragraph" w:customStyle="1" w:styleId="253">
    <w:name w:val="标准正文"/>
    <w:basedOn w:val="23"/>
    <w:uiPriority w:val="0"/>
    <w:pPr>
      <w:spacing w:before="60" w:after="60" w:line="360" w:lineRule="auto"/>
      <w:ind w:left="0" w:leftChars="0" w:firstLine="482"/>
    </w:pPr>
    <w:rPr>
      <w:rFonts w:ascii="Arial" w:hAnsi="Arial"/>
      <w:sz w:val="24"/>
      <w:szCs w:val="20"/>
    </w:rPr>
  </w:style>
  <w:style w:type="paragraph" w:customStyle="1" w:styleId="254">
    <w:name w:val="Char Char1 Char Char 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55">
    <w:name w:val="图片文字"/>
    <w:basedOn w:val="1"/>
    <w:qFormat/>
    <w:uiPriority w:val="0"/>
    <w:pPr>
      <w:spacing w:line="240" w:lineRule="atLeast"/>
      <w:jc w:val="center"/>
    </w:pPr>
    <w:rPr>
      <w:szCs w:val="20"/>
    </w:rPr>
  </w:style>
  <w:style w:type="paragraph" w:customStyle="1" w:styleId="256">
    <w:name w:val="Char Char Char"/>
    <w:basedOn w:val="1"/>
    <w:qFormat/>
    <w:uiPriority w:val="0"/>
    <w:rPr>
      <w:rFonts w:ascii="Tahoma" w:hAnsi="Tahoma"/>
      <w:sz w:val="24"/>
      <w:szCs w:val="20"/>
    </w:rPr>
  </w:style>
  <w:style w:type="paragraph" w:customStyle="1" w:styleId="257">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5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szCs w:val="20"/>
      <w:lang w:eastAsia="zh-TW"/>
    </w:rPr>
  </w:style>
  <w:style w:type="paragraph" w:customStyle="1" w:styleId="260">
    <w:name w:val="文本框样式1"/>
    <w:basedOn w:val="1"/>
    <w:qFormat/>
    <w:uiPriority w:val="0"/>
    <w:pPr>
      <w:adjustRightInd w:val="0"/>
      <w:snapToGrid w:val="0"/>
      <w:spacing w:before="60" w:line="180" w:lineRule="exact"/>
      <w:jc w:val="center"/>
    </w:pPr>
    <w:rPr>
      <w:szCs w:val="20"/>
    </w:rPr>
  </w:style>
  <w:style w:type="paragraph" w:customStyle="1" w:styleId="261">
    <w:name w:val="Char Char Char Char Char Char Char1"/>
    <w:basedOn w:val="1"/>
    <w:qFormat/>
    <w:uiPriority w:val="0"/>
    <w:rPr>
      <w:rFonts w:ascii="Tahoma" w:hAnsi="Tahoma"/>
      <w:sz w:val="24"/>
      <w:szCs w:val="20"/>
    </w:rPr>
  </w:style>
  <w:style w:type="paragraph" w:customStyle="1" w:styleId="262">
    <w:name w:val="列出段落1"/>
    <w:basedOn w:val="1"/>
    <w:qFormat/>
    <w:uiPriority w:val="0"/>
    <w:pPr>
      <w:ind w:firstLine="420" w:firstLineChars="200"/>
    </w:pPr>
  </w:style>
  <w:style w:type="paragraph" w:customStyle="1" w:styleId="263">
    <w:name w:val="_Style 5"/>
    <w:qFormat/>
    <w:uiPriority w:val="0"/>
    <w:rPr>
      <w:rFonts w:ascii="Calibri" w:hAnsi="Calibri" w:eastAsia="宋体" w:cs="Times New Roman"/>
      <w:sz w:val="22"/>
      <w:szCs w:val="22"/>
      <w:lang w:val="en-US" w:eastAsia="zh-CN" w:bidi="ar-SA"/>
    </w:rPr>
  </w:style>
  <w:style w:type="paragraph" w:customStyle="1" w:styleId="264">
    <w:name w:val="_Style 1"/>
    <w:qFormat/>
    <w:uiPriority w:val="0"/>
    <w:rPr>
      <w:rFonts w:ascii="Calibri" w:hAnsi="Calibri" w:eastAsia="宋体" w:cs="Times New Roman"/>
      <w:sz w:val="22"/>
      <w:szCs w:val="22"/>
      <w:lang w:val="en-US" w:eastAsia="zh-CN" w:bidi="ar-SA"/>
    </w:rPr>
  </w:style>
  <w:style w:type="paragraph" w:styleId="265">
    <w:name w:val="List Paragraph"/>
    <w:basedOn w:val="1"/>
    <w:unhideWhenUsed/>
    <w:qFormat/>
    <w:uiPriority w:val="99"/>
    <w:pPr>
      <w:ind w:firstLine="420" w:firstLineChars="200"/>
    </w:pPr>
  </w:style>
  <w:style w:type="character" w:customStyle="1" w:styleId="266">
    <w:name w:val="标题 5（1） （2） Char"/>
    <w:link w:val="267"/>
    <w:qFormat/>
    <w:uiPriority w:val="0"/>
    <w:rPr>
      <w:rFonts w:ascii="Verdana" w:hAnsi="Verdana" w:eastAsia="黑体"/>
      <w:b/>
      <w:kern w:val="2"/>
      <w:sz w:val="24"/>
      <w:szCs w:val="24"/>
    </w:rPr>
  </w:style>
  <w:style w:type="paragraph" w:customStyle="1" w:styleId="267">
    <w:name w:val="标题 5（1） （2）"/>
    <w:next w:val="1"/>
    <w:link w:val="266"/>
    <w:qFormat/>
    <w:uiPriority w:val="0"/>
    <w:pPr>
      <w:spacing w:before="10" w:beforeLines="10" w:after="10" w:afterLines="10"/>
      <w:ind w:firstLine="125" w:firstLineChars="125"/>
    </w:pPr>
    <w:rPr>
      <w:rFonts w:ascii="Verdana" w:hAnsi="Verdana" w:eastAsia="黑体" w:cs="Times New Roman"/>
      <w:b/>
      <w:kern w:val="2"/>
      <w:sz w:val="24"/>
      <w:szCs w:val="24"/>
      <w:lang w:val="en-US" w:eastAsia="zh-CN" w:bidi="ar-SA"/>
    </w:rPr>
  </w:style>
  <w:style w:type="paragraph" w:customStyle="1" w:styleId="268">
    <w:name w:val="p0"/>
    <w:basedOn w:val="1"/>
    <w:semiHidden/>
    <w:qFormat/>
    <w:uiPriority w:val="0"/>
    <w:pPr>
      <w:widowControl/>
      <w:jc w:val="left"/>
    </w:pPr>
    <w:rPr>
      <w:rFonts w:ascii="Calibri" w:hAnsi="Calibri"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14EAD-0E41-4A12-B2A8-EBF6F1A6673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5741</Words>
  <Characters>32725</Characters>
  <Lines>272</Lines>
  <Paragraphs>76</Paragraphs>
  <TotalTime>223</TotalTime>
  <ScaleCrop>false</ScaleCrop>
  <LinksUpToDate>false</LinksUpToDate>
  <CharactersWithSpaces>38390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2020-03-30T02:53:00Z</dcterms:created>
  <dc:creator>lenovo</dc:creator>
  <cp:lastModifiedBy>Administrator</cp:lastModifiedBy>
  <cp:lastPrinted>2020-10-14T06:53:00Z</cp:lastPrinted>
  <dcterms:modified xsi:type="dcterms:W3CDTF">2021-07-19T08:19:29Z</dcterms:modified>
  <dc:title>焦作市医疗机构医用耗材集中招标采购</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_DocHome">
    <vt:i4>1409532544</vt:i4>
  </property>
  <property fmtid="{D5CDD505-2E9C-101B-9397-08002B2CF9AE}" pid="4" name="ICV">
    <vt:lpwstr>40761A3E477E4B98890479B9BF7A22C1</vt:lpwstr>
  </property>
</Properties>
</file>