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竞争性磋商文件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rPr>
          <w:rFonts w:ascii="黑体" w:eastAsia="黑体"/>
          <w:sz w:val="32"/>
        </w:rPr>
      </w:pPr>
    </w:p>
    <w:p>
      <w:pPr>
        <w:spacing w:line="360" w:lineRule="auto"/>
        <w:ind w:firstLine="200"/>
        <w:jc w:val="center"/>
        <w:rPr>
          <w:rFonts w:ascii="方正小标宋_GBK" w:hAnsi="宋体" w:eastAsia="方正小标宋_GBK"/>
          <w:sz w:val="36"/>
          <w:szCs w:val="30"/>
        </w:rPr>
      </w:pPr>
    </w:p>
    <w:p>
      <w:pPr>
        <w:spacing w:line="360" w:lineRule="auto"/>
        <w:rPr>
          <w:rFonts w:ascii="方正小标宋_GBK" w:hAnsi="宋体" w:eastAsia="方正小标宋_GBK"/>
          <w:sz w:val="36"/>
          <w:szCs w:val="30"/>
        </w:rPr>
      </w:pPr>
      <w:r>
        <w:rPr>
          <w:rFonts w:hint="eastAsia" w:ascii="方正小标宋_GBK" w:hAnsi="宋体" w:eastAsia="方正小标宋_GBK"/>
          <w:sz w:val="36"/>
          <w:szCs w:val="30"/>
        </w:rPr>
        <w:t>磋商项目编号：</w:t>
      </w:r>
      <w:r>
        <w:rPr>
          <w:rFonts w:ascii="方正小标宋_GBK" w:hAnsi="宋体" w:eastAsia="方正小标宋_GBK"/>
          <w:sz w:val="36"/>
          <w:szCs w:val="30"/>
        </w:rPr>
        <w:t>20</w:t>
      </w:r>
      <w:r>
        <w:rPr>
          <w:rFonts w:hint="eastAsia" w:ascii="方正小标宋_GBK" w:hAnsi="宋体" w:eastAsia="方正小标宋_GBK"/>
          <w:sz w:val="36"/>
          <w:szCs w:val="30"/>
        </w:rPr>
        <w:t>21</w:t>
      </w:r>
      <w:r>
        <w:rPr>
          <w:rFonts w:ascii="方正小标宋_GBK" w:hAnsi="宋体" w:eastAsia="方正小标宋_GBK"/>
          <w:sz w:val="36"/>
          <w:szCs w:val="30"/>
        </w:rPr>
        <w:t>B0</w:t>
      </w:r>
      <w:r>
        <w:rPr>
          <w:rFonts w:hint="eastAsia" w:ascii="方正小标宋_GBK" w:hAnsi="宋体" w:eastAsia="方正小标宋_GBK"/>
          <w:sz w:val="36"/>
          <w:szCs w:val="30"/>
        </w:rPr>
        <w:t>02</w:t>
      </w:r>
    </w:p>
    <w:p>
      <w:pPr>
        <w:snapToGrid w:val="0"/>
        <w:spacing w:line="360" w:lineRule="atLeast"/>
        <w:ind w:left="-720" w:leftChars="-257" w:right="-445" w:rightChars="-159" w:firstLine="720" w:firstLineChars="200"/>
        <w:rPr>
          <w:rFonts w:hint="eastAsia" w:ascii="方正小标宋_GBK" w:hAnsi="宋体" w:eastAsia="方正小标宋_GBK"/>
          <w:b/>
          <w:bCs/>
          <w:sz w:val="52"/>
          <w:szCs w:val="52"/>
          <w:lang w:eastAsia="zh-CN"/>
        </w:rPr>
      </w:pPr>
      <w:r>
        <w:rPr>
          <w:rFonts w:hint="eastAsia" w:ascii="方正小标宋_GBK" w:hAnsi="宋体" w:eastAsia="方正小标宋_GBK"/>
          <w:sz w:val="36"/>
          <w:szCs w:val="30"/>
        </w:rPr>
        <w:t>项目名称： 江北区中医院电梯设备维护保养服务项目</w:t>
      </w:r>
      <w:r>
        <w:rPr>
          <w:rFonts w:hint="eastAsia" w:ascii="方正小标宋_GBK" w:hAnsi="宋体" w:eastAsia="方正小标宋_GBK"/>
          <w:sz w:val="36"/>
          <w:szCs w:val="30"/>
          <w:lang w:eastAsia="zh-CN"/>
        </w:rPr>
        <w:t>（第三次）</w:t>
      </w:r>
    </w:p>
    <w:p>
      <w:pPr>
        <w:spacing w:line="700" w:lineRule="exact"/>
        <w:ind w:firstLine="1929" w:firstLineChars="536"/>
        <w:rPr>
          <w:rFonts w:ascii="方正小标宋_GBK" w:hAnsi="宋体" w:eastAsia="方正小标宋_GBK"/>
          <w:sz w:val="36"/>
          <w:szCs w:val="30"/>
        </w:rPr>
      </w:pPr>
    </w:p>
    <w:p>
      <w:pPr>
        <w:spacing w:line="700" w:lineRule="exact"/>
        <w:ind w:firstLine="1749" w:firstLineChars="486"/>
        <w:rPr>
          <w:rFonts w:ascii="方正小标宋_GBK" w:hAnsi="宋体" w:eastAsia="方正小标宋_GBK"/>
          <w:sz w:val="36"/>
          <w:szCs w:val="30"/>
        </w:rPr>
      </w:pPr>
    </w:p>
    <w:p>
      <w:pPr>
        <w:spacing w:line="700" w:lineRule="exact"/>
        <w:rPr>
          <w:rFonts w:ascii="方正小标宋_GBK" w:hAnsi="宋体" w:eastAsia="方正小标宋_GBK"/>
          <w:sz w:val="36"/>
          <w:szCs w:val="30"/>
        </w:rPr>
      </w:pPr>
      <w:r>
        <w:rPr>
          <w:rFonts w:hint="eastAsia" w:ascii="方正小标宋_GBK" w:hAnsi="宋体" w:eastAsia="方正小标宋_GBK"/>
          <w:sz w:val="36"/>
          <w:szCs w:val="30"/>
        </w:rPr>
        <w:t>采购人：重庆市江北区中医院</w:t>
      </w: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ind w:firstLine="4320" w:firstLineChars="900"/>
        <w:outlineLvl w:val="0"/>
        <w:rPr>
          <w:rFonts w:ascii="方正黑体_GBK" w:hAnsi="宋体" w:eastAsia="方正黑体_GBK"/>
          <w:sz w:val="48"/>
          <w:szCs w:val="32"/>
        </w:rPr>
      </w:pPr>
      <w:r>
        <w:rPr>
          <w:rFonts w:hint="eastAsia" w:ascii="方正黑体_GBK" w:hAnsi="宋体" w:eastAsia="方正黑体_GBK"/>
          <w:sz w:val="48"/>
          <w:szCs w:val="32"/>
        </w:rPr>
        <w:t>二0二一年</w:t>
      </w:r>
      <w:r>
        <w:rPr>
          <w:rFonts w:hint="eastAsia" w:ascii="方正黑体_GBK" w:hAnsi="宋体" w:eastAsia="方正黑体_GBK"/>
          <w:sz w:val="48"/>
          <w:szCs w:val="32"/>
          <w:lang w:eastAsia="zh-CN"/>
        </w:rPr>
        <w:t>三</w:t>
      </w:r>
      <w:r>
        <w:rPr>
          <w:rFonts w:hint="eastAsia" w:ascii="方正黑体_GBK" w:hAnsi="宋体" w:eastAsia="方正黑体_GBK"/>
          <w:sz w:val="48"/>
          <w:szCs w:val="32"/>
        </w:rPr>
        <w:t>月</w:t>
      </w:r>
    </w:p>
    <w:p>
      <w:pPr>
        <w:spacing w:line="420" w:lineRule="exact"/>
        <w:jc w:val="center"/>
        <w:outlineLvl w:val="0"/>
        <w:rPr>
          <w:rFonts w:ascii="方正黑体_GBK" w:eastAsia="方正黑体_GBK"/>
          <w:sz w:val="44"/>
          <w:szCs w:val="28"/>
        </w:rPr>
      </w:pPr>
    </w:p>
    <w:p>
      <w:pPr>
        <w:pStyle w:val="12"/>
        <w:spacing w:line="480" w:lineRule="auto"/>
      </w:pPr>
    </w:p>
    <w:p>
      <w:pPr>
        <w:pStyle w:val="12"/>
        <w:spacing w:line="480" w:lineRule="auto"/>
      </w:pPr>
    </w:p>
    <w:p>
      <w:pPr>
        <w:pStyle w:val="12"/>
        <w:spacing w:line="480" w:lineRule="auto"/>
      </w:pPr>
    </w:p>
    <w:p>
      <w:pPr>
        <w:pStyle w:val="12"/>
        <w:spacing w:line="480" w:lineRule="auto"/>
      </w:pPr>
    </w:p>
    <w:p>
      <w:pPr>
        <w:pStyle w:val="12"/>
        <w:spacing w:line="480" w:lineRule="auto"/>
      </w:pPr>
    </w:p>
    <w:p>
      <w:pPr>
        <w:pStyle w:val="12"/>
        <w:spacing w:line="480" w:lineRule="auto"/>
        <w:rPr>
          <w:sz w:val="21"/>
          <w:szCs w:val="22"/>
        </w:rPr>
      </w:pPr>
      <w:r>
        <w:fldChar w:fldCharType="begin"/>
      </w:r>
      <w:r>
        <w:instrText xml:space="preserve"> HYPERLINK \l "_Toc12973744" </w:instrText>
      </w:r>
      <w:r>
        <w:fldChar w:fldCharType="separate"/>
      </w:r>
      <w:r>
        <w:rPr>
          <w:rStyle w:val="18"/>
          <w:rFonts w:hint="eastAsia" w:ascii="宋体" w:hAnsi="宋体" w:cs="仿宋"/>
          <w:b/>
          <w:bCs/>
          <w:color w:val="auto"/>
        </w:rPr>
        <w:t>第一篇</w:t>
      </w:r>
      <w:r>
        <w:rPr>
          <w:sz w:val="21"/>
          <w:szCs w:val="22"/>
        </w:rPr>
        <w:tab/>
      </w:r>
      <w:r>
        <w:rPr>
          <w:rStyle w:val="18"/>
          <w:rFonts w:hint="eastAsia" w:ascii="宋体" w:hAnsi="宋体" w:cs="仿宋"/>
          <w:b/>
          <w:bCs/>
          <w:color w:val="auto"/>
        </w:rPr>
        <w:t>投标邀请书</w:t>
      </w:r>
      <w:r>
        <w:tab/>
      </w:r>
      <w:r>
        <w:fldChar w:fldCharType="begin"/>
      </w:r>
      <w:r>
        <w:instrText xml:space="preserve"> PAGEREF _Toc12973744 \h </w:instrText>
      </w:r>
      <w:r>
        <w:fldChar w:fldCharType="separate"/>
      </w:r>
      <w:r>
        <w:rPr>
          <w:rFonts w:hint="eastAsia"/>
          <w:b/>
          <w:bCs/>
        </w:rPr>
        <w:t>3。</w:t>
      </w:r>
      <w:r>
        <w:fldChar w:fldCharType="end"/>
      </w:r>
      <w:r>
        <w:fldChar w:fldCharType="end"/>
      </w:r>
    </w:p>
    <w:p>
      <w:pPr>
        <w:pStyle w:val="12"/>
        <w:spacing w:line="480" w:lineRule="auto"/>
        <w:rPr>
          <w:sz w:val="21"/>
          <w:szCs w:val="22"/>
        </w:rPr>
      </w:pPr>
      <w:r>
        <w:fldChar w:fldCharType="begin"/>
      </w:r>
      <w:r>
        <w:instrText xml:space="preserve"> HYPERLINK \l "_Toc12973745" </w:instrText>
      </w:r>
      <w:r>
        <w:fldChar w:fldCharType="separate"/>
      </w:r>
      <w:r>
        <w:rPr>
          <w:rStyle w:val="18"/>
          <w:rFonts w:hint="eastAsia" w:ascii="宋体" w:hAnsi="宋体" w:cs="仿宋"/>
          <w:b/>
          <w:bCs/>
          <w:color w:val="auto"/>
        </w:rPr>
        <w:t>第二篇项目技术规格、数量及质量要求</w:t>
      </w:r>
      <w:r>
        <w:tab/>
      </w:r>
      <w:r>
        <w:rPr>
          <w:rFonts w:hint="eastAsia"/>
        </w:rPr>
        <w:t>6</w:t>
      </w:r>
      <w:r>
        <w:rPr>
          <w:rFonts w:hint="eastAsia"/>
        </w:rPr>
        <w:fldChar w:fldCharType="end"/>
      </w:r>
    </w:p>
    <w:p>
      <w:pPr>
        <w:pStyle w:val="12"/>
        <w:spacing w:line="480" w:lineRule="auto"/>
        <w:rPr>
          <w:sz w:val="21"/>
          <w:szCs w:val="22"/>
        </w:rPr>
      </w:pPr>
      <w:r>
        <w:fldChar w:fldCharType="begin"/>
      </w:r>
      <w:r>
        <w:instrText xml:space="preserve"> HYPERLINK \l "_Toc12973746" </w:instrText>
      </w:r>
      <w:r>
        <w:fldChar w:fldCharType="separate"/>
      </w:r>
      <w:r>
        <w:rPr>
          <w:rStyle w:val="18"/>
          <w:rFonts w:hint="eastAsia" w:ascii="宋体" w:hAnsi="宋体" w:cs="仿宋"/>
          <w:b/>
          <w:bCs/>
          <w:color w:val="auto"/>
        </w:rPr>
        <w:t>第三篇项目商务要求</w:t>
      </w:r>
      <w:r>
        <w:tab/>
      </w:r>
      <w:r>
        <w:rPr>
          <w:rFonts w:hint="eastAsia"/>
        </w:rPr>
        <w:t>13</w:t>
      </w:r>
      <w:r>
        <w:rPr>
          <w:rFonts w:hint="eastAsia"/>
        </w:rPr>
        <w:fldChar w:fldCharType="end"/>
      </w:r>
    </w:p>
    <w:p>
      <w:pPr>
        <w:pStyle w:val="12"/>
        <w:spacing w:line="480" w:lineRule="auto"/>
        <w:rPr>
          <w:sz w:val="21"/>
          <w:szCs w:val="22"/>
        </w:rPr>
      </w:pPr>
      <w:r>
        <w:fldChar w:fldCharType="begin"/>
      </w:r>
      <w:r>
        <w:instrText xml:space="preserve"> HYPERLINK \l "_Toc12973747" </w:instrText>
      </w:r>
      <w:r>
        <w:fldChar w:fldCharType="separate"/>
      </w:r>
      <w:r>
        <w:rPr>
          <w:rStyle w:val="18"/>
          <w:rFonts w:hint="eastAsia" w:ascii="宋体" w:hAnsi="宋体" w:cs="仿宋"/>
          <w:b/>
          <w:bCs/>
          <w:color w:val="auto"/>
        </w:rPr>
        <w:t>第四篇资格审查及</w:t>
      </w:r>
      <w:bookmarkStart w:id="0" w:name="_Hlt12973763"/>
      <w:r>
        <w:rPr>
          <w:rStyle w:val="18"/>
          <w:rFonts w:hint="eastAsia" w:ascii="宋体" w:hAnsi="宋体" w:cs="仿宋"/>
          <w:b/>
          <w:bCs/>
          <w:color w:val="auto"/>
        </w:rPr>
        <w:t>评</w:t>
      </w:r>
      <w:bookmarkEnd w:id="0"/>
      <w:r>
        <w:rPr>
          <w:rStyle w:val="18"/>
          <w:rFonts w:hint="eastAsia" w:ascii="宋体" w:hAnsi="宋体" w:cs="仿宋"/>
          <w:b/>
          <w:bCs/>
          <w:color w:val="auto"/>
        </w:rPr>
        <w:t>标办法</w:t>
      </w:r>
      <w:r>
        <w:tab/>
      </w:r>
      <w:r>
        <w:fldChar w:fldCharType="begin"/>
      </w:r>
      <w:r>
        <w:instrText xml:space="preserve"> PAGEREF _Toc12973747 \h </w:instrText>
      </w:r>
      <w:r>
        <w:fldChar w:fldCharType="separate"/>
      </w:r>
      <w:r>
        <w:t>14</w:t>
      </w:r>
      <w:r>
        <w:fldChar w:fldCharType="end"/>
      </w:r>
      <w:r>
        <w:fldChar w:fldCharType="end"/>
      </w:r>
    </w:p>
    <w:p>
      <w:pPr>
        <w:pStyle w:val="12"/>
        <w:spacing w:line="480" w:lineRule="auto"/>
        <w:rPr>
          <w:sz w:val="21"/>
          <w:szCs w:val="22"/>
        </w:rPr>
      </w:pPr>
      <w:r>
        <w:fldChar w:fldCharType="begin"/>
      </w:r>
      <w:r>
        <w:instrText xml:space="preserve"> HYPERLINK \l "_Toc12973748" </w:instrText>
      </w:r>
      <w:r>
        <w:fldChar w:fldCharType="separate"/>
      </w:r>
      <w:r>
        <w:rPr>
          <w:rStyle w:val="18"/>
          <w:rFonts w:hint="eastAsia" w:ascii="宋体" w:hAnsi="宋体" w:cs="仿宋"/>
          <w:b/>
          <w:bCs/>
          <w:color w:val="auto"/>
        </w:rPr>
        <w:t>第五篇投标人须知</w:t>
      </w:r>
      <w:r>
        <w:tab/>
      </w:r>
      <w:r>
        <w:rPr>
          <w:rFonts w:hint="eastAsia"/>
        </w:rPr>
        <w:t>20</w:t>
      </w:r>
      <w:r>
        <w:rPr>
          <w:rFonts w:hint="eastAsia"/>
        </w:rPr>
        <w:fldChar w:fldCharType="end"/>
      </w:r>
    </w:p>
    <w:p>
      <w:pPr>
        <w:pStyle w:val="12"/>
        <w:spacing w:line="480" w:lineRule="auto"/>
        <w:rPr>
          <w:sz w:val="21"/>
          <w:szCs w:val="22"/>
        </w:rPr>
      </w:pPr>
      <w:r>
        <w:fldChar w:fldCharType="begin"/>
      </w:r>
      <w:r>
        <w:instrText xml:space="preserve"> HYPERLINK \l "_Toc12973749" </w:instrText>
      </w:r>
      <w:r>
        <w:fldChar w:fldCharType="separate"/>
      </w:r>
      <w:r>
        <w:rPr>
          <w:rStyle w:val="18"/>
          <w:rFonts w:hint="eastAsia" w:ascii="宋体" w:hAnsi="宋体" w:cs="仿宋"/>
          <w:b/>
          <w:bCs/>
          <w:color w:val="auto"/>
        </w:rPr>
        <w:t>第六篇合同主要条款和格式合同（样本）</w:t>
      </w:r>
      <w:r>
        <w:tab/>
      </w:r>
      <w:r>
        <w:rPr>
          <w:rFonts w:hint="eastAsia"/>
        </w:rPr>
        <w:t>24</w:t>
      </w:r>
      <w:r>
        <w:rPr>
          <w:rFonts w:hint="eastAsia"/>
        </w:rPr>
        <w:fldChar w:fldCharType="end"/>
      </w:r>
    </w:p>
    <w:p>
      <w:pPr>
        <w:spacing w:line="420" w:lineRule="exact"/>
        <w:ind w:firstLine="280" w:firstLineChars="100"/>
        <w:outlineLvl w:val="0"/>
      </w:pPr>
      <w:r>
        <w:fldChar w:fldCharType="begin"/>
      </w:r>
      <w:r>
        <w:instrText xml:space="preserve"> HYPERLINK \l "_Toc12973750" </w:instrText>
      </w:r>
      <w:r>
        <w:fldChar w:fldCharType="separate"/>
      </w:r>
      <w:r>
        <w:rPr>
          <w:rStyle w:val="18"/>
          <w:rFonts w:hint="eastAsia" w:ascii="宋体" w:hAnsi="宋体" w:cs="仿宋"/>
          <w:b/>
          <w:bCs/>
          <w:color w:val="auto"/>
        </w:rPr>
        <w:t>第七篇投标文件格式</w:t>
      </w:r>
      <w:r>
        <w:rPr>
          <w:rStyle w:val="18"/>
          <w:rFonts w:ascii="宋体" w:hAnsi="宋体" w:cs="仿宋"/>
          <w:b/>
          <w:bCs/>
          <w:color w:val="auto"/>
        </w:rPr>
        <w:tab/>
      </w:r>
      <w:r>
        <w:rPr>
          <w:rStyle w:val="18"/>
          <w:rFonts w:ascii="宋体" w:hAnsi="宋体" w:cs="仿宋"/>
          <w:b/>
          <w:bCs/>
          <w:color w:val="auto"/>
        </w:rPr>
        <w:t>………………………………</w:t>
      </w:r>
      <w:r>
        <w:tab/>
      </w:r>
      <w:r>
        <w:rPr>
          <w:rFonts w:hint="eastAsia"/>
        </w:rPr>
        <w:t>27</w:t>
      </w:r>
      <w:r>
        <w:rPr>
          <w:rFonts w:hint="eastAsia"/>
        </w:rPr>
        <w:fldChar w:fldCharType="end"/>
      </w: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pStyle w:val="2"/>
        <w:spacing w:line="360" w:lineRule="auto"/>
        <w:jc w:val="center"/>
        <w:rPr>
          <w:rFonts w:ascii="方正小标宋_GBK" w:hAnsi="宋体" w:eastAsia="方正小标宋_GBK"/>
          <w:b w:val="0"/>
          <w:color w:val="000000"/>
          <w:sz w:val="36"/>
          <w:szCs w:val="30"/>
        </w:rPr>
      </w:pPr>
      <w:bookmarkStart w:id="1" w:name="_Toc11641050"/>
      <w:bookmarkStart w:id="2" w:name="_Toc12789052"/>
      <w:bookmarkStart w:id="3" w:name="_Toc415471815"/>
      <w:r>
        <w:rPr>
          <w:rFonts w:hint="eastAsia" w:ascii="方正小标宋_GBK" w:hAnsi="宋体" w:eastAsia="方正小标宋_GBK"/>
          <w:b w:val="0"/>
          <w:color w:val="000000"/>
          <w:sz w:val="36"/>
          <w:szCs w:val="30"/>
        </w:rPr>
        <w:t>第一篇  竞争性磋商邀请书</w:t>
      </w:r>
      <w:bookmarkEnd w:id="1"/>
      <w:bookmarkEnd w:id="2"/>
      <w:bookmarkEnd w:id="3"/>
    </w:p>
    <w:p>
      <w:pPr>
        <w:snapToGrid w:val="0"/>
        <w:spacing w:line="400" w:lineRule="exact"/>
        <w:ind w:firstLine="480" w:firstLineChars="200"/>
        <w:rPr>
          <w:rFonts w:ascii="黑体" w:hAnsi="宋体" w:eastAsia="黑体"/>
          <w:color w:val="000000"/>
          <w:sz w:val="24"/>
          <w:szCs w:val="24"/>
        </w:rPr>
      </w:pPr>
      <w:r>
        <w:rPr>
          <w:rFonts w:hint="eastAsia" w:ascii="黑体" w:hAnsi="黑体" w:eastAsia="黑体" w:cs="黑体"/>
          <w:color w:val="000000"/>
          <w:sz w:val="24"/>
          <w:szCs w:val="24"/>
        </w:rPr>
        <w:t>重庆市江北区中医院</w:t>
      </w:r>
      <w:r>
        <w:rPr>
          <w:rFonts w:hint="eastAsia" w:ascii="黑体" w:hAnsi="宋体" w:eastAsia="黑体"/>
          <w:color w:val="000000"/>
          <w:sz w:val="24"/>
          <w:szCs w:val="24"/>
        </w:rPr>
        <w:t>按照医院院长办公会下达的采购计划，对“电梯设备维护保养服务”项目进行竞争性磋商采购。欢迎有资格的供应商前来参加磋商。</w:t>
      </w:r>
    </w:p>
    <w:p>
      <w:pPr>
        <w:pStyle w:val="3"/>
        <w:spacing w:before="0" w:after="0" w:line="400" w:lineRule="exact"/>
        <w:rPr>
          <w:rFonts w:ascii="黑体" w:eastAsia="黑体"/>
          <w:color w:val="000000"/>
          <w:sz w:val="24"/>
          <w:szCs w:val="24"/>
        </w:rPr>
      </w:pPr>
      <w:bookmarkStart w:id="4" w:name="_Toc317775175"/>
      <w:bookmarkStart w:id="5" w:name="_Toc313893526"/>
      <w:bookmarkStart w:id="6" w:name="_Toc415471816"/>
      <w:r>
        <w:rPr>
          <w:rFonts w:hint="eastAsia" w:ascii="黑体" w:eastAsia="黑体"/>
          <w:color w:val="000000"/>
          <w:sz w:val="24"/>
          <w:szCs w:val="24"/>
        </w:rPr>
        <w:t>一、竞争性</w:t>
      </w:r>
      <w:r>
        <w:rPr>
          <w:rFonts w:hint="eastAsia" w:ascii="黑体" w:hAnsi="宋体" w:eastAsia="黑体"/>
          <w:color w:val="000000"/>
          <w:sz w:val="24"/>
          <w:szCs w:val="24"/>
        </w:rPr>
        <w:t>磋商</w:t>
      </w:r>
      <w:r>
        <w:rPr>
          <w:rFonts w:hint="eastAsia" w:ascii="黑体" w:eastAsia="黑体"/>
          <w:color w:val="000000"/>
          <w:sz w:val="24"/>
          <w:szCs w:val="24"/>
        </w:rPr>
        <w:t>内容</w:t>
      </w:r>
      <w:bookmarkEnd w:id="4"/>
      <w:bookmarkEnd w:id="5"/>
      <w:bookmarkEnd w:id="6"/>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60"/>
        <w:gridCol w:w="1420"/>
        <w:gridCol w:w="1140"/>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49" w:type="dxa"/>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color w:val="000000"/>
                <w:kern w:val="0"/>
                <w:sz w:val="21"/>
                <w:szCs w:val="24"/>
              </w:rPr>
            </w:pPr>
            <w:r>
              <w:rPr>
                <w:rFonts w:hint="eastAsia" w:ascii="黑体" w:hAnsi="宋体" w:eastAsia="黑体" w:cs="宋体"/>
                <w:b/>
                <w:bCs/>
                <w:color w:val="000000"/>
                <w:kern w:val="0"/>
                <w:sz w:val="21"/>
                <w:szCs w:val="24"/>
              </w:rPr>
              <w:t>分包号</w:t>
            </w:r>
          </w:p>
        </w:tc>
        <w:tc>
          <w:tcPr>
            <w:tcW w:w="1060" w:type="dxa"/>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color w:val="000000"/>
                <w:kern w:val="0"/>
                <w:sz w:val="21"/>
                <w:szCs w:val="24"/>
              </w:rPr>
            </w:pPr>
            <w:r>
              <w:rPr>
                <w:rFonts w:hint="eastAsia" w:ascii="黑体" w:hAnsi="宋体" w:eastAsia="黑体" w:cs="宋体"/>
                <w:b/>
                <w:bCs/>
                <w:color w:val="000000"/>
                <w:kern w:val="0"/>
                <w:sz w:val="21"/>
                <w:szCs w:val="24"/>
              </w:rPr>
              <w:t>分包名称</w:t>
            </w:r>
          </w:p>
        </w:tc>
        <w:tc>
          <w:tcPr>
            <w:tcW w:w="1420" w:type="dxa"/>
            <w:tcBorders>
              <w:top w:val="single" w:color="auto" w:sz="4" w:space="0"/>
              <w:left w:val="single" w:color="auto" w:sz="4" w:space="0"/>
              <w:right w:val="single" w:color="auto" w:sz="4" w:space="0"/>
            </w:tcBorders>
            <w:vAlign w:val="center"/>
          </w:tcPr>
          <w:p>
            <w:pPr>
              <w:jc w:val="center"/>
              <w:rPr>
                <w:rFonts w:ascii="黑体" w:hAnsi="宋体" w:eastAsia="黑体" w:cs="宋体"/>
                <w:b/>
                <w:bCs/>
                <w:color w:val="000000"/>
                <w:kern w:val="0"/>
                <w:sz w:val="21"/>
                <w:szCs w:val="24"/>
              </w:rPr>
            </w:pPr>
            <w:r>
              <w:rPr>
                <w:rFonts w:hint="eastAsia" w:ascii="黑体" w:hAnsi="宋体" w:eastAsia="黑体" w:cs="宋体"/>
                <w:b/>
                <w:bCs/>
                <w:color w:val="000000"/>
                <w:kern w:val="0"/>
                <w:sz w:val="21"/>
                <w:szCs w:val="24"/>
              </w:rPr>
              <w:t>最高限价</w:t>
            </w:r>
          </w:p>
          <w:p>
            <w:pPr>
              <w:jc w:val="center"/>
              <w:rPr>
                <w:rFonts w:ascii="黑体" w:hAnsi="宋体" w:eastAsia="黑体" w:cs="宋体"/>
                <w:b/>
                <w:bCs/>
                <w:color w:val="000000"/>
                <w:kern w:val="0"/>
                <w:sz w:val="21"/>
                <w:szCs w:val="24"/>
              </w:rPr>
            </w:pPr>
            <w:r>
              <w:rPr>
                <w:rFonts w:hint="eastAsia" w:ascii="黑体" w:hAnsi="宋体" w:eastAsia="黑体" w:cs="宋体"/>
                <w:b/>
                <w:bCs/>
                <w:color w:val="000000"/>
                <w:kern w:val="0"/>
                <w:sz w:val="21"/>
                <w:szCs w:val="24"/>
              </w:rPr>
              <w:t>（万元/年）</w:t>
            </w:r>
          </w:p>
        </w:tc>
        <w:tc>
          <w:tcPr>
            <w:tcW w:w="1140" w:type="dxa"/>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color w:val="000000"/>
                <w:kern w:val="0"/>
                <w:sz w:val="21"/>
                <w:szCs w:val="24"/>
              </w:rPr>
            </w:pPr>
            <w:r>
              <w:rPr>
                <w:rFonts w:hint="eastAsia" w:ascii="黑体" w:hAnsi="宋体" w:eastAsia="黑体" w:cs="宋体"/>
                <w:b/>
                <w:bCs/>
                <w:color w:val="000000"/>
                <w:kern w:val="0"/>
                <w:sz w:val="21"/>
                <w:szCs w:val="24"/>
              </w:rPr>
              <w:t>保证金</w:t>
            </w:r>
          </w:p>
          <w:p>
            <w:pPr>
              <w:jc w:val="center"/>
              <w:rPr>
                <w:rFonts w:ascii="黑体" w:hAnsi="宋体" w:eastAsia="黑体" w:cs="宋体"/>
                <w:b/>
                <w:bCs/>
                <w:color w:val="000000"/>
                <w:kern w:val="0"/>
                <w:sz w:val="21"/>
                <w:szCs w:val="24"/>
              </w:rPr>
            </w:pPr>
            <w:r>
              <w:rPr>
                <w:rFonts w:hint="eastAsia" w:ascii="黑体" w:hAnsi="宋体" w:eastAsia="黑体" w:cs="宋体"/>
                <w:b/>
                <w:bCs/>
                <w:color w:val="000000"/>
                <w:kern w:val="0"/>
                <w:sz w:val="21"/>
                <w:szCs w:val="24"/>
              </w:rPr>
              <w:t>（元）</w:t>
            </w:r>
          </w:p>
        </w:tc>
        <w:tc>
          <w:tcPr>
            <w:tcW w:w="3574" w:type="dxa"/>
            <w:tcBorders>
              <w:top w:val="single" w:color="auto" w:sz="4" w:space="0"/>
              <w:left w:val="single" w:color="auto" w:sz="4" w:space="0"/>
              <w:right w:val="single" w:color="auto" w:sz="4" w:space="0"/>
            </w:tcBorders>
            <w:vAlign w:val="center"/>
          </w:tcPr>
          <w:p>
            <w:pPr>
              <w:jc w:val="center"/>
              <w:rPr>
                <w:rFonts w:ascii="黑体" w:hAnsi="宋体" w:eastAsia="黑体" w:cs="宋体"/>
                <w:b/>
                <w:bCs/>
                <w:color w:val="000000"/>
                <w:kern w:val="0"/>
                <w:sz w:val="21"/>
                <w:szCs w:val="24"/>
              </w:rPr>
            </w:pPr>
            <w:r>
              <w:rPr>
                <w:rFonts w:hint="eastAsia" w:ascii="黑体" w:hAnsi="宋体" w:eastAsia="黑体" w:cs="宋体"/>
                <w:b/>
                <w:bCs/>
                <w:color w:val="000000"/>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49" w:type="dxa"/>
            <w:tcBorders>
              <w:top w:val="single" w:color="auto" w:sz="4" w:space="0"/>
              <w:left w:val="single" w:color="auto" w:sz="4" w:space="0"/>
              <w:right w:val="single" w:color="auto" w:sz="4" w:space="0"/>
            </w:tcBorders>
            <w:vAlign w:val="center"/>
          </w:tcPr>
          <w:p>
            <w:pPr>
              <w:widowControl/>
              <w:jc w:val="center"/>
              <w:rPr>
                <w:rFonts w:ascii="黑体" w:hAnsi="宋体" w:eastAsia="黑体" w:cs="宋体"/>
                <w:color w:val="000000"/>
                <w:kern w:val="0"/>
                <w:sz w:val="21"/>
                <w:szCs w:val="24"/>
              </w:rPr>
            </w:pPr>
            <w:bookmarkStart w:id="7" w:name="_Hlk344477914"/>
            <w:r>
              <w:rPr>
                <w:rFonts w:hint="eastAsia" w:ascii="黑体" w:hAnsi="宋体" w:eastAsia="黑体" w:cs="宋体"/>
                <w:color w:val="000000"/>
                <w:kern w:val="0"/>
                <w:sz w:val="21"/>
                <w:szCs w:val="24"/>
              </w:rPr>
              <w:t>1</w:t>
            </w:r>
          </w:p>
        </w:tc>
        <w:tc>
          <w:tcPr>
            <w:tcW w:w="1060" w:type="dxa"/>
            <w:tcBorders>
              <w:top w:val="single" w:color="auto" w:sz="4" w:space="0"/>
              <w:left w:val="single" w:color="auto" w:sz="4" w:space="0"/>
              <w:right w:val="single" w:color="auto" w:sz="4" w:space="0"/>
            </w:tcBorders>
            <w:vAlign w:val="center"/>
          </w:tcPr>
          <w:p>
            <w:pPr>
              <w:widowControl/>
              <w:jc w:val="center"/>
              <w:rPr>
                <w:rFonts w:ascii="黑体" w:hAnsi="黑体" w:eastAsia="黑体" w:cs="黑体"/>
                <w:color w:val="FF0000"/>
                <w:kern w:val="0"/>
                <w:sz w:val="21"/>
                <w:szCs w:val="24"/>
              </w:rPr>
            </w:pPr>
            <w:r>
              <w:rPr>
                <w:rFonts w:hint="eastAsia" w:ascii="黑体" w:hAnsi="宋体" w:eastAsia="黑体" w:cs="宋体"/>
                <w:b/>
                <w:bCs/>
                <w:color w:val="FF0000"/>
                <w:kern w:val="0"/>
                <w:sz w:val="21"/>
                <w:szCs w:val="24"/>
              </w:rPr>
              <w:t>本次拟对康复大楼8台扶梯、</w:t>
            </w:r>
            <w:r>
              <w:rPr>
                <w:rFonts w:hint="eastAsia" w:ascii="黑体" w:hAnsi="宋体" w:eastAsia="黑体" w:cs="宋体"/>
                <w:b/>
                <w:bCs/>
                <w:color w:val="FF0000"/>
                <w:kern w:val="0"/>
                <w:sz w:val="21"/>
                <w:szCs w:val="24"/>
                <w:lang w:val="en-US" w:eastAsia="zh-CN"/>
              </w:rPr>
              <w:t>7</w:t>
            </w:r>
            <w:r>
              <w:rPr>
                <w:rFonts w:hint="eastAsia" w:ascii="黑体" w:hAnsi="宋体" w:eastAsia="黑体" w:cs="宋体"/>
                <w:b/>
                <w:bCs/>
                <w:color w:val="FF0000"/>
                <w:kern w:val="0"/>
                <w:sz w:val="21"/>
                <w:szCs w:val="24"/>
              </w:rPr>
              <w:t>台电梯维保服务</w:t>
            </w:r>
          </w:p>
        </w:tc>
        <w:tc>
          <w:tcPr>
            <w:tcW w:w="1420" w:type="dxa"/>
            <w:tcBorders>
              <w:top w:val="single" w:color="auto" w:sz="4" w:space="0"/>
              <w:left w:val="single" w:color="auto" w:sz="4" w:space="0"/>
              <w:right w:val="single" w:color="auto" w:sz="4" w:space="0"/>
            </w:tcBorders>
            <w:vAlign w:val="center"/>
          </w:tcPr>
          <w:p>
            <w:pPr>
              <w:widowControl/>
              <w:jc w:val="center"/>
              <w:rPr>
                <w:rFonts w:ascii="黑体" w:hAnsi="宋体" w:eastAsia="黑体" w:cs="宋体"/>
                <w:b/>
                <w:color w:val="000000"/>
                <w:kern w:val="0"/>
                <w:sz w:val="21"/>
                <w:szCs w:val="24"/>
              </w:rPr>
            </w:pPr>
            <w:r>
              <w:rPr>
                <w:rFonts w:hint="eastAsia" w:ascii="黑体" w:hAnsi="宋体" w:eastAsia="黑体" w:cs="宋体"/>
                <w:b/>
                <w:color w:val="000000"/>
                <w:kern w:val="0"/>
                <w:sz w:val="21"/>
                <w:szCs w:val="24"/>
              </w:rPr>
              <w:t>12．6360</w:t>
            </w:r>
          </w:p>
        </w:tc>
        <w:tc>
          <w:tcPr>
            <w:tcW w:w="1140" w:type="dxa"/>
            <w:tcBorders>
              <w:top w:val="single" w:color="auto" w:sz="4" w:space="0"/>
              <w:left w:val="single" w:color="auto" w:sz="4" w:space="0"/>
              <w:right w:val="single" w:color="auto" w:sz="4" w:space="0"/>
            </w:tcBorders>
            <w:vAlign w:val="center"/>
          </w:tcPr>
          <w:p>
            <w:pPr>
              <w:widowControl/>
              <w:jc w:val="center"/>
              <w:rPr>
                <w:rFonts w:ascii="黑体" w:hAnsi="宋体" w:eastAsia="黑体" w:cs="宋体"/>
                <w:b/>
                <w:color w:val="000000"/>
                <w:kern w:val="0"/>
                <w:sz w:val="21"/>
                <w:szCs w:val="24"/>
              </w:rPr>
            </w:pPr>
            <w:r>
              <w:rPr>
                <w:rFonts w:hint="eastAsia" w:ascii="黑体" w:hAnsi="宋体" w:eastAsia="黑体" w:cs="宋体"/>
                <w:b/>
                <w:color w:val="000000"/>
                <w:kern w:val="0"/>
                <w:sz w:val="21"/>
                <w:szCs w:val="24"/>
              </w:rPr>
              <w:t>2000</w:t>
            </w:r>
          </w:p>
        </w:tc>
        <w:tc>
          <w:tcPr>
            <w:tcW w:w="3574" w:type="dxa"/>
            <w:tcBorders>
              <w:top w:val="single" w:color="auto" w:sz="4" w:space="0"/>
              <w:left w:val="single" w:color="auto" w:sz="4" w:space="0"/>
              <w:right w:val="single" w:color="auto" w:sz="4" w:space="0"/>
            </w:tcBorders>
          </w:tcPr>
          <w:p>
            <w:pPr>
              <w:jc w:val="center"/>
              <w:rPr>
                <w:rFonts w:ascii="黑体" w:hAnsi="宋体" w:eastAsia="黑体"/>
                <w:b/>
                <w:color w:val="000000"/>
                <w:sz w:val="21"/>
                <w:szCs w:val="21"/>
              </w:rPr>
            </w:pPr>
          </w:p>
        </w:tc>
      </w:tr>
      <w:bookmarkEnd w:id="7"/>
    </w:tbl>
    <w:p>
      <w:pPr>
        <w:pStyle w:val="3"/>
        <w:spacing w:before="0" w:after="0" w:line="400" w:lineRule="exact"/>
        <w:rPr>
          <w:rFonts w:ascii="黑体" w:eastAsia="黑体"/>
          <w:color w:val="000000"/>
          <w:sz w:val="24"/>
          <w:szCs w:val="24"/>
        </w:rPr>
      </w:pPr>
      <w:bookmarkStart w:id="8" w:name="_Toc415471817"/>
      <w:r>
        <w:rPr>
          <w:rFonts w:hint="eastAsia" w:ascii="黑体" w:eastAsia="黑体"/>
          <w:color w:val="000000"/>
          <w:sz w:val="24"/>
          <w:szCs w:val="24"/>
        </w:rPr>
        <w:t>二、资金来源</w:t>
      </w:r>
      <w:bookmarkEnd w:id="8"/>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单位自筹资金。</w:t>
      </w:r>
    </w:p>
    <w:p>
      <w:pPr>
        <w:pStyle w:val="3"/>
        <w:spacing w:before="0" w:after="0" w:line="400" w:lineRule="exact"/>
        <w:rPr>
          <w:rFonts w:ascii="黑体" w:eastAsia="黑体"/>
          <w:color w:val="000000"/>
          <w:sz w:val="24"/>
          <w:szCs w:val="24"/>
        </w:rPr>
      </w:pPr>
      <w:bookmarkStart w:id="9" w:name="_Toc415471818"/>
      <w:r>
        <w:rPr>
          <w:rFonts w:hint="eastAsia" w:ascii="黑体" w:eastAsia="黑体"/>
          <w:color w:val="000000"/>
          <w:sz w:val="24"/>
          <w:szCs w:val="24"/>
        </w:rPr>
        <w:t>三、</w:t>
      </w:r>
      <w:r>
        <w:rPr>
          <w:rFonts w:hint="eastAsia" w:ascii="黑体" w:hAnsi="宋体" w:eastAsia="黑体"/>
          <w:color w:val="000000"/>
          <w:sz w:val="24"/>
          <w:szCs w:val="24"/>
        </w:rPr>
        <w:t>磋商</w:t>
      </w:r>
      <w:r>
        <w:rPr>
          <w:rFonts w:hint="eastAsia" w:ascii="黑体" w:eastAsia="黑体"/>
          <w:color w:val="000000"/>
          <w:sz w:val="24"/>
          <w:szCs w:val="24"/>
        </w:rPr>
        <w:t>资格</w:t>
      </w:r>
      <w:bookmarkEnd w:id="9"/>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（一）一般资格条件</w:t>
      </w:r>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1、具有独立承担民事责任的能力；</w:t>
      </w:r>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2、具有良好的商业信誉和健全的财务会计制度；</w:t>
      </w:r>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3、具有履行合同所必需的设备和专业技术能力；</w:t>
      </w:r>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4、有依法缴纳税收和社会保障资金的良好记录；</w:t>
      </w:r>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5、参加政府采购活动前三年内，在经营活动中没有重大违法记录；</w:t>
      </w:r>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6、法律、行政法规规定的其他条件。</w:t>
      </w:r>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（二）特定资格条件</w:t>
      </w:r>
    </w:p>
    <w:p>
      <w:pPr>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1、投标人需具有特种设备安装改造维修许可证（A级）。</w:t>
      </w:r>
    </w:p>
    <w:p>
      <w:pPr>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2、本项目不接受联合体投标</w:t>
      </w:r>
    </w:p>
    <w:p>
      <w:pPr>
        <w:pStyle w:val="3"/>
        <w:shd w:val="clear" w:color="auto" w:fill="FFFFFF"/>
        <w:spacing w:before="0" w:after="0" w:line="480" w:lineRule="exact"/>
        <w:rPr>
          <w:rFonts w:ascii="黑体" w:eastAsia="黑体"/>
          <w:color w:val="000000"/>
          <w:sz w:val="24"/>
          <w:szCs w:val="24"/>
        </w:rPr>
      </w:pPr>
      <w:r>
        <w:rPr>
          <w:rFonts w:hint="eastAsia" w:ascii="黑体" w:eastAsia="黑体"/>
          <w:color w:val="000000"/>
          <w:sz w:val="24"/>
          <w:szCs w:val="24"/>
        </w:rPr>
        <w:t>四、</w:t>
      </w:r>
      <w:r>
        <w:rPr>
          <w:rFonts w:hint="eastAsia" w:ascii="黑体" w:hAnsi="宋体" w:eastAsia="黑体"/>
          <w:color w:val="000000"/>
          <w:sz w:val="24"/>
          <w:szCs w:val="24"/>
        </w:rPr>
        <w:t>磋商</w:t>
      </w:r>
      <w:r>
        <w:rPr>
          <w:rFonts w:hint="eastAsia" w:ascii="黑体" w:eastAsia="黑体"/>
          <w:color w:val="000000"/>
          <w:sz w:val="24"/>
          <w:szCs w:val="24"/>
        </w:rPr>
        <w:t>有关说明</w:t>
      </w:r>
    </w:p>
    <w:p>
      <w:pPr>
        <w:shd w:val="clear" w:color="auto" w:fill="FFFFFF"/>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（一）凡有意参加磋商的供应商，请于公告发布之日（</w:t>
      </w:r>
      <w:r>
        <w:rPr>
          <w:rFonts w:hint="eastAsia" w:ascii="黑体" w:hAnsi="宋体" w:eastAsia="黑体"/>
          <w:color w:val="000000"/>
          <w:sz w:val="24"/>
          <w:szCs w:val="24"/>
          <w:lang w:val="en-US" w:eastAsia="zh-CN"/>
        </w:rPr>
        <w:t>2021</w:t>
      </w:r>
      <w:r>
        <w:rPr>
          <w:rFonts w:hint="eastAsia" w:ascii="黑体" w:hAnsi="宋体" w:eastAsia="黑体"/>
          <w:color w:val="000000"/>
          <w:sz w:val="24"/>
          <w:szCs w:val="24"/>
        </w:rPr>
        <w:t>年</w:t>
      </w:r>
      <w:r>
        <w:rPr>
          <w:rFonts w:hint="eastAsia" w:ascii="黑体" w:hAnsi="宋体" w:eastAsia="黑体"/>
          <w:color w:val="000000"/>
          <w:sz w:val="24"/>
          <w:szCs w:val="24"/>
          <w:lang w:val="en-US" w:eastAsia="zh-CN"/>
        </w:rPr>
        <w:t>3</w:t>
      </w:r>
      <w:r>
        <w:rPr>
          <w:rFonts w:hint="eastAsia" w:ascii="黑体" w:hAnsi="宋体" w:eastAsia="黑体"/>
          <w:color w:val="000000"/>
          <w:sz w:val="24"/>
          <w:szCs w:val="24"/>
        </w:rPr>
        <w:t>月</w:t>
      </w:r>
      <w:r>
        <w:rPr>
          <w:rFonts w:hint="eastAsia" w:ascii="黑体" w:hAnsi="宋体" w:eastAsia="黑体"/>
          <w:color w:val="000000"/>
          <w:sz w:val="24"/>
          <w:szCs w:val="24"/>
          <w:lang w:val="en-US" w:eastAsia="zh-CN"/>
        </w:rPr>
        <w:t>19</w:t>
      </w:r>
      <w:r>
        <w:rPr>
          <w:rFonts w:hint="eastAsia" w:ascii="黑体" w:hAnsi="宋体" w:eastAsia="黑体"/>
          <w:color w:val="000000"/>
          <w:sz w:val="24"/>
          <w:szCs w:val="24"/>
        </w:rPr>
        <w:t>日）起至提交首次响应文件截止时间之前，自行在重庆市江北区中医院官网（http://www.jbzyy.com/）、重庆市行采家网址上（www.gec123.com）下载本项目竞争性磋商文件以及图纸、补遗等磋商前公布的所有项目资料，无论供应商下载与否，均视为已知晓所有磋商实质性要求内容。</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（四）供应商须满足以下四种要件，其响应文件才被接受：</w:t>
      </w:r>
    </w:p>
    <w:p>
      <w:pPr>
        <w:spacing w:line="560" w:lineRule="exact"/>
        <w:ind w:firstLine="600" w:firstLineChars="250"/>
        <w:rPr>
          <w:rFonts w:ascii="黑体" w:hAnsi="宋体" w:eastAsia="黑体"/>
          <w:color w:val="000000"/>
          <w:sz w:val="24"/>
          <w:szCs w:val="24"/>
        </w:rPr>
      </w:pPr>
      <w:r>
        <w:rPr>
          <w:rFonts w:ascii="黑体" w:hAnsi="宋体" w:eastAsia="黑体"/>
          <w:color w:val="000000"/>
          <w:sz w:val="24"/>
          <w:szCs w:val="24"/>
        </w:rPr>
        <w:t>1.</w:t>
      </w:r>
      <w:r>
        <w:rPr>
          <w:rFonts w:hint="eastAsia" w:ascii="黑体" w:hAnsi="宋体" w:eastAsia="黑体"/>
          <w:color w:val="000000"/>
          <w:sz w:val="24"/>
          <w:szCs w:val="24"/>
        </w:rPr>
        <w:t>按时缴纳了足额的投标保证金；</w:t>
      </w:r>
    </w:p>
    <w:p>
      <w:pPr>
        <w:spacing w:line="560" w:lineRule="exact"/>
        <w:ind w:firstLine="600" w:firstLineChars="250"/>
        <w:rPr>
          <w:rFonts w:ascii="黑体" w:hAnsi="宋体" w:eastAsia="黑体"/>
          <w:color w:val="000000"/>
          <w:sz w:val="24"/>
          <w:szCs w:val="24"/>
        </w:rPr>
      </w:pPr>
      <w:r>
        <w:rPr>
          <w:rFonts w:ascii="黑体" w:hAnsi="宋体" w:eastAsia="黑体"/>
          <w:color w:val="000000"/>
          <w:sz w:val="24"/>
          <w:szCs w:val="24"/>
        </w:rPr>
        <w:t>2.</w:t>
      </w:r>
      <w:r>
        <w:rPr>
          <w:rFonts w:hint="eastAsia" w:ascii="黑体" w:hAnsi="宋体" w:eastAsia="黑体"/>
          <w:color w:val="000000"/>
          <w:sz w:val="24"/>
          <w:szCs w:val="24"/>
        </w:rPr>
        <w:t>按时按要求递交了响应文件；</w:t>
      </w:r>
    </w:p>
    <w:p>
      <w:pPr>
        <w:spacing w:line="560" w:lineRule="exact"/>
        <w:ind w:firstLine="600" w:firstLineChars="250"/>
        <w:rPr>
          <w:rFonts w:ascii="黑体" w:hAnsi="宋体" w:eastAsia="黑体"/>
          <w:color w:val="000000"/>
          <w:sz w:val="24"/>
          <w:szCs w:val="24"/>
        </w:rPr>
      </w:pPr>
      <w:r>
        <w:rPr>
          <w:rFonts w:ascii="黑体" w:hAnsi="宋体" w:eastAsia="黑体"/>
          <w:color w:val="000000"/>
          <w:sz w:val="24"/>
          <w:szCs w:val="24"/>
        </w:rPr>
        <w:t>3.</w:t>
      </w:r>
      <w:r>
        <w:rPr>
          <w:rFonts w:hint="eastAsia" w:ascii="黑体" w:hAnsi="宋体" w:eastAsia="黑体"/>
          <w:color w:val="000000"/>
          <w:sz w:val="24"/>
          <w:szCs w:val="24"/>
        </w:rPr>
        <w:t>按时签到；</w:t>
      </w:r>
    </w:p>
    <w:p>
      <w:pPr>
        <w:spacing w:line="560" w:lineRule="exact"/>
        <w:ind w:firstLine="600" w:firstLineChars="250"/>
        <w:rPr>
          <w:rFonts w:ascii="黑体" w:hAnsi="宋体" w:eastAsia="黑体"/>
          <w:color w:val="000000"/>
          <w:sz w:val="24"/>
          <w:szCs w:val="24"/>
        </w:rPr>
      </w:pPr>
      <w:r>
        <w:rPr>
          <w:rFonts w:ascii="黑体" w:hAnsi="宋体" w:eastAsia="黑体"/>
          <w:color w:val="000000"/>
          <w:sz w:val="24"/>
          <w:szCs w:val="24"/>
        </w:rPr>
        <w:t>4.</w:t>
      </w:r>
      <w:r>
        <w:rPr>
          <w:rFonts w:hint="eastAsia" w:ascii="黑体" w:hAnsi="宋体" w:eastAsia="黑体"/>
          <w:color w:val="000000"/>
          <w:sz w:val="24"/>
          <w:szCs w:val="24"/>
        </w:rPr>
        <w:t>按照磋商文件要求提供相关证明材料原件的。</w:t>
      </w:r>
    </w:p>
    <w:p>
      <w:pPr>
        <w:shd w:val="clear" w:color="auto" w:fill="FFFFFF"/>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（五）磋商地点：重庆市江北区中医院康复大楼21楼会议室</w:t>
      </w:r>
    </w:p>
    <w:p>
      <w:pPr>
        <w:shd w:val="clear" w:color="auto" w:fill="FFFFFF"/>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（六）提交响应文件开始时间：20</w:t>
      </w:r>
      <w:r>
        <w:rPr>
          <w:rFonts w:hint="eastAsia" w:ascii="黑体" w:hAnsi="宋体" w:eastAsia="黑体"/>
          <w:color w:val="000000"/>
          <w:sz w:val="24"/>
          <w:szCs w:val="24"/>
          <w:lang w:val="en-US" w:eastAsia="zh-CN"/>
        </w:rPr>
        <w:t>21</w:t>
      </w:r>
      <w:r>
        <w:rPr>
          <w:rFonts w:hint="eastAsia" w:ascii="黑体" w:hAnsi="宋体" w:eastAsia="黑体"/>
          <w:color w:val="000000"/>
          <w:sz w:val="24"/>
          <w:szCs w:val="24"/>
        </w:rPr>
        <w:t>年</w:t>
      </w:r>
      <w:r>
        <w:rPr>
          <w:rFonts w:hint="eastAsia" w:ascii="黑体" w:hAnsi="宋体" w:eastAsia="黑体"/>
          <w:color w:val="000000"/>
          <w:sz w:val="24"/>
          <w:szCs w:val="24"/>
          <w:lang w:val="en-US" w:eastAsia="zh-CN"/>
        </w:rPr>
        <w:t>3</w:t>
      </w:r>
      <w:r>
        <w:rPr>
          <w:rFonts w:hint="eastAsia" w:ascii="黑体" w:hAnsi="宋体" w:eastAsia="黑体"/>
          <w:color w:val="000000"/>
          <w:sz w:val="24"/>
          <w:szCs w:val="24"/>
        </w:rPr>
        <w:t>月</w:t>
      </w:r>
      <w:r>
        <w:rPr>
          <w:rFonts w:hint="eastAsia" w:ascii="黑体" w:hAnsi="宋体" w:eastAsia="黑体"/>
          <w:color w:val="000000"/>
          <w:sz w:val="24"/>
          <w:szCs w:val="24"/>
          <w:lang w:val="en-US" w:eastAsia="zh-CN"/>
        </w:rPr>
        <w:t>30</w:t>
      </w:r>
      <w:r>
        <w:rPr>
          <w:rFonts w:hint="eastAsia" w:ascii="黑体" w:hAnsi="宋体" w:eastAsia="黑体"/>
          <w:color w:val="000000"/>
          <w:sz w:val="24"/>
          <w:szCs w:val="24"/>
        </w:rPr>
        <w:t>日北京时间09:00</w:t>
      </w:r>
    </w:p>
    <w:p>
      <w:pPr>
        <w:shd w:val="clear" w:color="auto" w:fill="FFFFFF"/>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（七）提交响应文件截止时间：20</w:t>
      </w:r>
      <w:r>
        <w:rPr>
          <w:rFonts w:hint="eastAsia" w:ascii="黑体" w:hAnsi="宋体" w:eastAsia="黑体"/>
          <w:color w:val="000000"/>
          <w:sz w:val="24"/>
          <w:szCs w:val="24"/>
          <w:lang w:val="en-US" w:eastAsia="zh-CN"/>
        </w:rPr>
        <w:t>21</w:t>
      </w:r>
      <w:r>
        <w:rPr>
          <w:rFonts w:hint="eastAsia" w:ascii="黑体" w:hAnsi="宋体" w:eastAsia="黑体"/>
          <w:color w:val="000000"/>
          <w:sz w:val="24"/>
          <w:szCs w:val="24"/>
        </w:rPr>
        <w:t>年</w:t>
      </w:r>
      <w:r>
        <w:rPr>
          <w:rFonts w:hint="eastAsia" w:ascii="黑体" w:hAnsi="宋体" w:eastAsia="黑体"/>
          <w:color w:val="000000"/>
          <w:sz w:val="24"/>
          <w:szCs w:val="24"/>
          <w:lang w:val="en-US" w:eastAsia="zh-CN"/>
        </w:rPr>
        <w:t>3</w:t>
      </w:r>
      <w:r>
        <w:rPr>
          <w:rFonts w:hint="eastAsia" w:ascii="黑体" w:hAnsi="宋体" w:eastAsia="黑体"/>
          <w:color w:val="000000"/>
          <w:sz w:val="24"/>
          <w:szCs w:val="24"/>
        </w:rPr>
        <w:t>月</w:t>
      </w:r>
      <w:r>
        <w:rPr>
          <w:rFonts w:hint="eastAsia" w:ascii="黑体" w:hAnsi="宋体" w:eastAsia="黑体"/>
          <w:color w:val="000000"/>
          <w:sz w:val="24"/>
          <w:szCs w:val="24"/>
          <w:lang w:val="en-US" w:eastAsia="zh-CN"/>
        </w:rPr>
        <w:t>30</w:t>
      </w:r>
      <w:r>
        <w:rPr>
          <w:rFonts w:hint="eastAsia" w:ascii="黑体" w:hAnsi="宋体" w:eastAsia="黑体"/>
          <w:color w:val="000000"/>
          <w:sz w:val="24"/>
          <w:szCs w:val="24"/>
        </w:rPr>
        <w:t>日北京时间16:30</w:t>
      </w:r>
    </w:p>
    <w:p>
      <w:pPr>
        <w:shd w:val="clear" w:color="auto" w:fill="FFFFFF"/>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（八）磋商开始时间：20</w:t>
      </w:r>
      <w:r>
        <w:rPr>
          <w:rFonts w:hint="eastAsia" w:ascii="黑体" w:hAnsi="宋体" w:eastAsia="黑体"/>
          <w:color w:val="000000"/>
          <w:sz w:val="24"/>
          <w:szCs w:val="24"/>
          <w:lang w:val="en-US" w:eastAsia="zh-CN"/>
        </w:rPr>
        <w:t>21</w:t>
      </w:r>
      <w:r>
        <w:rPr>
          <w:rFonts w:hint="eastAsia" w:ascii="黑体" w:hAnsi="宋体" w:eastAsia="黑体"/>
          <w:color w:val="000000"/>
          <w:sz w:val="24"/>
          <w:szCs w:val="24"/>
        </w:rPr>
        <w:t>年</w:t>
      </w:r>
      <w:r>
        <w:rPr>
          <w:rFonts w:hint="eastAsia" w:ascii="黑体" w:hAnsi="宋体" w:eastAsia="黑体"/>
          <w:color w:val="000000"/>
          <w:sz w:val="24"/>
          <w:szCs w:val="24"/>
          <w:lang w:val="en-US" w:eastAsia="zh-CN"/>
        </w:rPr>
        <w:t>3</w:t>
      </w:r>
      <w:r>
        <w:rPr>
          <w:rFonts w:hint="eastAsia" w:ascii="黑体" w:hAnsi="宋体" w:eastAsia="黑体"/>
          <w:color w:val="000000"/>
          <w:sz w:val="24"/>
          <w:szCs w:val="24"/>
        </w:rPr>
        <w:t>月</w:t>
      </w:r>
      <w:r>
        <w:rPr>
          <w:rFonts w:hint="eastAsia" w:ascii="黑体" w:hAnsi="宋体" w:eastAsia="黑体"/>
          <w:color w:val="000000"/>
          <w:sz w:val="24"/>
          <w:szCs w:val="24"/>
          <w:lang w:val="en-US" w:eastAsia="zh-CN"/>
        </w:rPr>
        <w:t>31</w:t>
      </w:r>
      <w:r>
        <w:rPr>
          <w:rFonts w:hint="eastAsia" w:ascii="黑体" w:hAnsi="宋体" w:eastAsia="黑体"/>
          <w:color w:val="000000"/>
          <w:sz w:val="24"/>
          <w:szCs w:val="24"/>
        </w:rPr>
        <w:t>日北京时间</w:t>
      </w:r>
      <w:r>
        <w:rPr>
          <w:rFonts w:hint="eastAsia" w:ascii="黑体" w:hAnsi="宋体" w:eastAsia="黑体"/>
          <w:color w:val="000000"/>
          <w:sz w:val="24"/>
          <w:szCs w:val="24"/>
          <w:lang w:val="en-US" w:eastAsia="zh-CN"/>
        </w:rPr>
        <w:t>14</w:t>
      </w:r>
      <w:r>
        <w:rPr>
          <w:rFonts w:hint="eastAsia" w:ascii="黑体" w:hAnsi="宋体" w:eastAsia="黑体"/>
          <w:color w:val="000000"/>
          <w:sz w:val="24"/>
          <w:szCs w:val="24"/>
        </w:rPr>
        <w:t>:30</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九）评标时，供应商在磋商小组要求的时间内提供招标文件规定的特定资格证明文件原件备查，不能按时提供者视为无效投标。</w:t>
      </w:r>
    </w:p>
    <w:p>
      <w:pPr>
        <w:snapToGrid w:val="0"/>
        <w:spacing w:line="560" w:lineRule="exact"/>
        <w:ind w:firstLine="360" w:firstLineChars="150"/>
        <w:rPr>
          <w:rFonts w:ascii="黑体" w:hAnsi="宋体" w:eastAsia="黑体"/>
          <w:color w:val="000000"/>
          <w:sz w:val="24"/>
          <w:szCs w:val="24"/>
        </w:rPr>
      </w:pPr>
      <w:r>
        <w:rPr>
          <w:rFonts w:hint="eastAsia" w:ascii="黑体" w:hAnsi="宋体" w:eastAsia="黑体"/>
          <w:color w:val="000000"/>
          <w:sz w:val="24"/>
          <w:szCs w:val="24"/>
        </w:rPr>
        <w:t>（十）磋商报价包括完成本项目所需的设备或货物购买（制造）费、辅材费、运输费、装卸费、安装调试费、</w:t>
      </w:r>
      <w:r>
        <w:rPr>
          <w:rFonts w:hint="eastAsia" w:ascii="方正仿宋_GBK" w:hAnsi="方正仿宋_GBK" w:eastAsia="方正仿宋_GBK" w:cs="方正仿宋_GBK"/>
          <w:color w:val="000000"/>
          <w:szCs w:val="28"/>
        </w:rPr>
        <w:t>5</w:t>
      </w:r>
      <w:r>
        <w:rPr>
          <w:rFonts w:ascii="黑体" w:hAnsi="宋体" w:eastAsia="黑体"/>
          <w:color w:val="000000"/>
          <w:sz w:val="24"/>
          <w:szCs w:val="24"/>
        </w:rPr>
        <w:t>00</w:t>
      </w:r>
      <w:r>
        <w:rPr>
          <w:rFonts w:hint="eastAsia" w:ascii="黑体" w:hAnsi="宋体" w:eastAsia="黑体"/>
          <w:color w:val="000000"/>
          <w:sz w:val="24"/>
          <w:szCs w:val="24"/>
        </w:rPr>
        <w:t>元以下的零部件不收材料费及人工费培训费和各种应纳的税费。因供应商自身原因造成漏报、少报皆由其自行承担责任，采购人不再补偿。</w:t>
      </w:r>
    </w:p>
    <w:p>
      <w:pPr>
        <w:pStyle w:val="3"/>
        <w:shd w:val="clear" w:color="auto" w:fill="FFFFFF"/>
        <w:spacing w:before="0" w:after="0" w:line="380" w:lineRule="exact"/>
        <w:rPr>
          <w:rFonts w:ascii="黑体" w:eastAsia="黑体"/>
          <w:color w:val="000000"/>
          <w:sz w:val="24"/>
          <w:szCs w:val="24"/>
        </w:rPr>
      </w:pPr>
      <w:bookmarkStart w:id="10" w:name="_Toc415471820"/>
      <w:bookmarkStart w:id="11" w:name="_Toc373860294"/>
      <w:r>
        <w:rPr>
          <w:rFonts w:hint="eastAsia" w:ascii="黑体" w:eastAsia="黑体"/>
          <w:color w:val="000000"/>
          <w:sz w:val="24"/>
          <w:szCs w:val="24"/>
        </w:rPr>
        <w:t>五、保证金</w:t>
      </w:r>
      <w:bookmarkEnd w:id="10"/>
      <w:bookmarkEnd w:id="11"/>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（一）磋商保证金缴纳金额：2</w:t>
      </w:r>
      <w:r>
        <w:rPr>
          <w:rFonts w:ascii="黑体" w:hAnsi="宋体" w:eastAsia="黑体"/>
          <w:color w:val="000000"/>
          <w:sz w:val="24"/>
          <w:szCs w:val="24"/>
        </w:rPr>
        <w:t>000</w:t>
      </w:r>
      <w:r>
        <w:rPr>
          <w:rFonts w:hint="eastAsia" w:ascii="黑体" w:hAnsi="宋体" w:eastAsia="黑体"/>
          <w:color w:val="000000"/>
          <w:sz w:val="24"/>
          <w:szCs w:val="24"/>
        </w:rPr>
        <w:t>元</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（二）缴纳保证金方式：银行转帐</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供应商须按本项目规定的保证金金额进行缴纳，保证金的到账截止时间为磋商当天上午</w:t>
      </w:r>
      <w:r>
        <w:rPr>
          <w:rFonts w:ascii="黑体" w:hAnsi="宋体" w:eastAsia="黑体"/>
          <w:color w:val="000000"/>
          <w:sz w:val="24"/>
          <w:szCs w:val="24"/>
        </w:rPr>
        <w:t>9:00</w:t>
      </w:r>
      <w:r>
        <w:rPr>
          <w:rFonts w:hint="eastAsia" w:ascii="黑体" w:hAnsi="宋体" w:eastAsia="黑体"/>
          <w:color w:val="000000"/>
          <w:sz w:val="24"/>
          <w:szCs w:val="24"/>
        </w:rPr>
        <w:t>。</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保证金账户</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户名：重庆市江北区中医院</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开户行：建设银行江北蔚蓝世纪支行</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账号：</w:t>
      </w:r>
      <w:r>
        <w:rPr>
          <w:rFonts w:ascii="黑体" w:hAnsi="宋体" w:eastAsia="黑体"/>
          <w:color w:val="000000"/>
          <w:sz w:val="24"/>
          <w:szCs w:val="24"/>
        </w:rPr>
        <w:t>50001064000050001684</w:t>
      </w:r>
    </w:p>
    <w:p>
      <w:pPr>
        <w:spacing w:line="560" w:lineRule="exact"/>
        <w:ind w:firstLine="480" w:firstLineChars="200"/>
        <w:rPr>
          <w:rFonts w:ascii="黑体" w:hAnsi="宋体" w:eastAsia="黑体"/>
          <w:color w:val="000000"/>
          <w:sz w:val="24"/>
          <w:szCs w:val="24"/>
        </w:rPr>
      </w:pPr>
      <w:r>
        <w:rPr>
          <w:rFonts w:ascii="黑体" w:hAnsi="宋体" w:eastAsia="黑体"/>
          <w:color w:val="000000"/>
          <w:sz w:val="24"/>
          <w:szCs w:val="24"/>
        </w:rPr>
        <w:t>1.</w:t>
      </w:r>
      <w:r>
        <w:rPr>
          <w:rFonts w:hint="eastAsia" w:ascii="黑体" w:hAnsi="宋体" w:eastAsia="黑体"/>
          <w:color w:val="000000"/>
          <w:sz w:val="24"/>
          <w:szCs w:val="24"/>
        </w:rPr>
        <w:t>各供应商在银行转账（电汇）时，须充分考虑银行转账（电汇）的时间差风险，如同城转账、异地转账或汇款、跨行转账或电汇的时间要求。</w:t>
      </w:r>
    </w:p>
    <w:p>
      <w:pPr>
        <w:spacing w:line="560" w:lineRule="exact"/>
        <w:ind w:firstLine="480" w:firstLineChars="200"/>
        <w:rPr>
          <w:rFonts w:ascii="黑体" w:hAnsi="宋体" w:eastAsia="黑体"/>
          <w:color w:val="000000"/>
          <w:sz w:val="24"/>
          <w:szCs w:val="24"/>
        </w:rPr>
      </w:pPr>
      <w:r>
        <w:rPr>
          <w:rFonts w:ascii="黑体" w:hAnsi="宋体" w:eastAsia="黑体"/>
          <w:color w:val="000000"/>
          <w:sz w:val="24"/>
          <w:szCs w:val="24"/>
        </w:rPr>
        <w:t>2.</w:t>
      </w:r>
      <w:r>
        <w:rPr>
          <w:rFonts w:hint="eastAsia" w:ascii="黑体" w:hAnsi="宋体" w:eastAsia="黑体"/>
          <w:color w:val="000000"/>
          <w:sz w:val="24"/>
          <w:szCs w:val="24"/>
        </w:rPr>
        <w:t>开标前各供应商必须现场递交投标保证金付款单复印件或者收据（原件备查）。</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（三）保证金退还方式</w:t>
      </w:r>
    </w:p>
    <w:p>
      <w:pPr>
        <w:spacing w:line="560" w:lineRule="exact"/>
        <w:ind w:firstLine="480" w:firstLineChars="200"/>
        <w:rPr>
          <w:rFonts w:ascii="黑体" w:hAnsi="宋体" w:eastAsia="黑体"/>
          <w:color w:val="000000"/>
          <w:sz w:val="24"/>
          <w:szCs w:val="24"/>
        </w:rPr>
      </w:pPr>
      <w:r>
        <w:rPr>
          <w:rFonts w:ascii="黑体" w:hAnsi="宋体" w:eastAsia="黑体"/>
          <w:color w:val="000000"/>
          <w:sz w:val="24"/>
          <w:szCs w:val="24"/>
        </w:rPr>
        <w:t>1.</w:t>
      </w:r>
      <w:r>
        <w:rPr>
          <w:rFonts w:hint="eastAsia" w:ascii="黑体" w:hAnsi="宋体" w:eastAsia="黑体"/>
          <w:color w:val="000000"/>
          <w:sz w:val="24"/>
          <w:szCs w:val="24"/>
        </w:rPr>
        <w:t>未中标供应商的保证金，在中标通知书发放后，五个工作日内按来款渠道直接退还。</w:t>
      </w:r>
    </w:p>
    <w:p>
      <w:pPr>
        <w:spacing w:line="560" w:lineRule="exact"/>
        <w:ind w:firstLine="480" w:firstLineChars="200"/>
        <w:rPr>
          <w:rFonts w:ascii="黑体" w:hAnsi="宋体" w:eastAsia="黑体"/>
          <w:color w:val="000000"/>
          <w:sz w:val="24"/>
          <w:szCs w:val="24"/>
        </w:rPr>
      </w:pPr>
      <w:r>
        <w:rPr>
          <w:rFonts w:ascii="黑体" w:hAnsi="宋体" w:eastAsia="黑体"/>
          <w:color w:val="000000"/>
          <w:sz w:val="24"/>
          <w:szCs w:val="24"/>
        </w:rPr>
        <w:t>2.</w:t>
      </w:r>
      <w:r>
        <w:rPr>
          <w:rFonts w:hint="eastAsia" w:ascii="黑体" w:hAnsi="宋体" w:eastAsia="黑体"/>
          <w:color w:val="000000"/>
          <w:sz w:val="24"/>
          <w:szCs w:val="24"/>
        </w:rPr>
        <w:t>中标人的投标保证金，在中标人与采购人签订合同后，五个工作日内按资金来款渠道直接退还。</w:t>
      </w:r>
    </w:p>
    <w:p>
      <w:pPr>
        <w:snapToGrid w:val="0"/>
        <w:spacing w:line="380" w:lineRule="exact"/>
        <w:ind w:firstLine="241" w:firstLineChars="100"/>
        <w:rPr>
          <w:rFonts w:ascii="黑体" w:hAnsi="宋体" w:eastAsia="黑体"/>
          <w:b/>
          <w:bCs/>
          <w:sz w:val="24"/>
          <w:szCs w:val="24"/>
        </w:rPr>
      </w:pPr>
      <w:r>
        <w:rPr>
          <w:rFonts w:hint="eastAsia" w:ascii="黑体" w:hAnsi="宋体" w:eastAsia="黑体"/>
          <w:b/>
          <w:bCs/>
          <w:sz w:val="24"/>
          <w:szCs w:val="24"/>
        </w:rPr>
        <w:t>六、其它有关规定</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sz w:val="24"/>
          <w:szCs w:val="24"/>
        </w:rPr>
        <w:t>1、法定代表人为同</w:t>
      </w:r>
      <w:r>
        <w:rPr>
          <w:rFonts w:hint="eastAsia" w:ascii="黑体" w:hAnsi="宋体" w:eastAsia="黑体"/>
          <w:color w:val="000000"/>
          <w:sz w:val="24"/>
          <w:szCs w:val="24"/>
        </w:rPr>
        <w:t>一个人的两个及两个以上法人，母公司、全资子公司及其控股公司，都不得在同一分包的货物采购中同时参与磋商，否则均为无效磋商。</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2、单个分包为单一货物的，一个制造商对同一品牌同一规格型号的货物，仅能委托一个代理商参加该分包的磋商，否则为无效磋商。</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3、同一分包的货物，制造商参与磋商的，不得再委托代理商参与磋商，否则为无效磋商。</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4、本项目在响应文件提交截止时间前发布的竞争性磋商文件及补遗文件（如果有）一律在</w:t>
      </w:r>
      <w:r>
        <w:rPr>
          <w:rFonts w:hint="eastAsia" w:ascii="黑体" w:hAnsi="宋体" w:eastAsia="黑体"/>
          <w:b/>
          <w:color w:val="0000FF"/>
          <w:sz w:val="24"/>
          <w:szCs w:val="24"/>
        </w:rPr>
        <w:t>自行在重庆市江北区中医院官网（http://www.jbzyy.com/）、重庆市行采家网址上（</w:t>
      </w:r>
      <w:r>
        <w:rPr>
          <w:rFonts w:ascii="黑体" w:hAnsi="宋体" w:eastAsia="黑体"/>
          <w:b/>
          <w:color w:val="0000FF"/>
          <w:sz w:val="24"/>
          <w:szCs w:val="24"/>
        </w:rPr>
        <w:t>www.gec123.com</w:t>
      </w:r>
      <w:r>
        <w:rPr>
          <w:rFonts w:hint="eastAsia" w:ascii="黑体" w:hAnsi="宋体" w:eastAsia="黑体"/>
          <w:b/>
          <w:color w:val="0000FF"/>
          <w:sz w:val="24"/>
          <w:szCs w:val="24"/>
        </w:rPr>
        <w:t>）</w:t>
      </w:r>
      <w:r>
        <w:rPr>
          <w:rFonts w:hint="eastAsia" w:ascii="黑体" w:hAnsi="宋体" w:eastAsia="黑体"/>
          <w:color w:val="000000"/>
          <w:sz w:val="24"/>
          <w:szCs w:val="24"/>
        </w:rPr>
        <w:t>上发布，请各供应商注意下载；无论供应商下载与否，均视同供应商已知晓本项目竞争性磋商文件、补遗文件（如果有）的内容。</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5、超过响应文件截止时间递交的响应文件，恕不接收。</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6、不接受联合体招标。</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7、磋商费用：无论磋商结果如何，供应商参与本项目磋商的所有费用均应由供应商自行承担。</w:t>
      </w:r>
    </w:p>
    <w:p>
      <w:pPr>
        <w:pStyle w:val="3"/>
        <w:spacing w:before="0" w:after="0" w:line="380" w:lineRule="exact"/>
        <w:rPr>
          <w:rFonts w:ascii="黑体" w:hAnsi="宋体" w:eastAsia="黑体"/>
          <w:color w:val="000000"/>
          <w:sz w:val="24"/>
          <w:szCs w:val="24"/>
        </w:rPr>
      </w:pPr>
      <w:bookmarkStart w:id="12" w:name="_Toc415471822"/>
      <w:r>
        <w:rPr>
          <w:rFonts w:hint="eastAsia" w:ascii="黑体" w:hAnsi="宋体" w:eastAsia="黑体"/>
          <w:color w:val="000000"/>
          <w:sz w:val="24"/>
          <w:szCs w:val="24"/>
        </w:rPr>
        <w:t>七、联系方式</w:t>
      </w:r>
      <w:bookmarkEnd w:id="12"/>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联系人：欧阳老师  尚老师</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电话：</w:t>
      </w:r>
      <w:r>
        <w:rPr>
          <w:rFonts w:ascii="黑体" w:hAnsi="宋体" w:eastAsia="黑体"/>
          <w:color w:val="000000"/>
          <w:sz w:val="24"/>
          <w:szCs w:val="24"/>
        </w:rPr>
        <w:t>67739723    67</w:t>
      </w:r>
      <w:r>
        <w:rPr>
          <w:rFonts w:hint="eastAsia" w:ascii="黑体" w:hAnsi="宋体" w:eastAsia="黑体"/>
          <w:color w:val="000000"/>
          <w:sz w:val="24"/>
          <w:szCs w:val="24"/>
        </w:rPr>
        <w:t>561932</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地址：重庆市江北区建新东路一村</w:t>
      </w:r>
      <w:r>
        <w:rPr>
          <w:rFonts w:ascii="黑体" w:hAnsi="宋体" w:eastAsia="黑体"/>
          <w:color w:val="000000"/>
          <w:sz w:val="24"/>
          <w:szCs w:val="24"/>
        </w:rPr>
        <w:t>35</w:t>
      </w:r>
      <w:r>
        <w:rPr>
          <w:rFonts w:hint="eastAsia" w:ascii="黑体" w:hAnsi="宋体" w:eastAsia="黑体"/>
          <w:color w:val="000000"/>
          <w:sz w:val="24"/>
          <w:szCs w:val="24"/>
        </w:rPr>
        <w:t>号</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（二）关于现场踏勘</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集中踏勘现场时间：20</w:t>
      </w:r>
      <w:r>
        <w:rPr>
          <w:rFonts w:hint="eastAsia" w:ascii="黑体" w:hAnsi="宋体" w:eastAsia="黑体"/>
          <w:color w:val="000000"/>
          <w:sz w:val="24"/>
          <w:szCs w:val="24"/>
          <w:lang w:val="en-US" w:eastAsia="zh-CN"/>
        </w:rPr>
        <w:t>21</w:t>
      </w:r>
      <w:r>
        <w:rPr>
          <w:rFonts w:hint="eastAsia" w:ascii="黑体" w:hAnsi="宋体" w:eastAsia="黑体"/>
          <w:color w:val="000000"/>
          <w:sz w:val="24"/>
          <w:szCs w:val="24"/>
        </w:rPr>
        <w:t>年</w:t>
      </w:r>
      <w:r>
        <w:rPr>
          <w:rFonts w:hint="eastAsia" w:ascii="黑体" w:hAnsi="宋体" w:eastAsia="黑体"/>
          <w:color w:val="000000"/>
          <w:sz w:val="24"/>
          <w:szCs w:val="24"/>
          <w:lang w:val="en-US" w:eastAsia="zh-CN"/>
        </w:rPr>
        <w:t>3</w:t>
      </w:r>
      <w:r>
        <w:rPr>
          <w:rFonts w:hint="eastAsia" w:ascii="黑体" w:hAnsi="宋体" w:eastAsia="黑体"/>
          <w:color w:val="000000"/>
          <w:sz w:val="24"/>
          <w:szCs w:val="24"/>
        </w:rPr>
        <w:t>月</w:t>
      </w:r>
      <w:r>
        <w:rPr>
          <w:rFonts w:hint="eastAsia" w:ascii="黑体" w:hAnsi="宋体" w:eastAsia="黑体"/>
          <w:color w:val="000000"/>
          <w:sz w:val="24"/>
          <w:szCs w:val="24"/>
          <w:lang w:val="en-US" w:eastAsia="zh-CN"/>
        </w:rPr>
        <w:t>26</w:t>
      </w:r>
      <w:r>
        <w:rPr>
          <w:rFonts w:hint="eastAsia" w:ascii="黑体" w:hAnsi="宋体" w:eastAsia="黑体"/>
          <w:color w:val="000000"/>
          <w:sz w:val="24"/>
          <w:szCs w:val="24"/>
        </w:rPr>
        <w:t>日上午10点</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 xml:space="preserve">联系人：尚老师  </w:t>
      </w:r>
      <w:bookmarkStart w:id="66" w:name="_GoBack"/>
      <w:bookmarkEnd w:id="66"/>
    </w:p>
    <w:p>
      <w:pPr>
        <w:snapToGrid w:val="0"/>
        <w:spacing w:line="380" w:lineRule="exact"/>
        <w:ind w:firstLine="480" w:firstLineChars="200"/>
        <w:rPr>
          <w:rFonts w:ascii="方正仿宋_GBK" w:hAnsi="宋体" w:eastAsia="方正仿宋_GBK"/>
          <w:color w:val="000000"/>
          <w:sz w:val="24"/>
          <w:szCs w:val="24"/>
        </w:rPr>
        <w:sectPr>
          <w:headerReference r:id="rId3" w:type="default"/>
          <w:footerReference r:id="rId4" w:type="default"/>
          <w:pgSz w:w="11907" w:h="16840"/>
          <w:pgMar w:top="1134" w:right="1418" w:bottom="1134" w:left="1418" w:header="964" w:footer="992" w:gutter="0"/>
          <w:cols w:space="720" w:num="1"/>
          <w:docGrid w:linePitch="312" w:charSpace="0"/>
        </w:sectPr>
      </w:pPr>
      <w:r>
        <w:rPr>
          <w:rFonts w:hint="eastAsia" w:ascii="黑体" w:hAnsi="宋体" w:eastAsia="黑体"/>
          <w:color w:val="000000"/>
          <w:sz w:val="24"/>
          <w:szCs w:val="24"/>
        </w:rPr>
        <w:t>联系电话：（023）</w:t>
      </w:r>
      <w:r>
        <w:rPr>
          <w:rFonts w:ascii="黑体" w:hAnsi="宋体" w:eastAsia="黑体"/>
          <w:color w:val="000000"/>
          <w:sz w:val="24"/>
          <w:szCs w:val="24"/>
        </w:rPr>
        <w:t>67</w:t>
      </w:r>
      <w:r>
        <w:rPr>
          <w:rFonts w:hint="eastAsia" w:ascii="黑体" w:hAnsi="宋体" w:eastAsia="黑体"/>
          <w:color w:val="000000"/>
          <w:sz w:val="24"/>
          <w:szCs w:val="24"/>
        </w:rPr>
        <w:t>561932</w:t>
      </w:r>
    </w:p>
    <w:p>
      <w:pPr>
        <w:jc w:val="center"/>
        <w:rPr>
          <w:rFonts w:ascii="黑体" w:hAnsi="宋体"/>
          <w:b/>
          <w:color w:val="000000"/>
          <w:sz w:val="36"/>
          <w:szCs w:val="30"/>
        </w:rPr>
      </w:pPr>
      <w:r>
        <w:rPr>
          <w:rFonts w:hint="eastAsia" w:ascii="宋体" w:hAnsi="宋体" w:cs="仿宋"/>
          <w:b/>
          <w:bCs/>
          <w:sz w:val="36"/>
          <w:szCs w:val="36"/>
        </w:rPr>
        <w:t xml:space="preserve">第二篇  </w:t>
      </w:r>
      <w:r>
        <w:rPr>
          <w:rFonts w:hint="eastAsia" w:ascii="黑体" w:hAnsi="宋体"/>
          <w:b/>
          <w:color w:val="000000"/>
          <w:sz w:val="36"/>
          <w:szCs w:val="30"/>
        </w:rPr>
        <w:t>磋商项目服务需求</w:t>
      </w:r>
    </w:p>
    <w:p>
      <w:pPr>
        <w:pStyle w:val="23"/>
        <w:numPr>
          <w:ilvl w:val="0"/>
          <w:numId w:val="1"/>
        </w:numPr>
        <w:spacing w:line="360" w:lineRule="auto"/>
        <w:ind w:firstLineChars="0"/>
        <w:rPr>
          <w:b/>
          <w:sz w:val="24"/>
          <w:szCs w:val="24"/>
        </w:rPr>
      </w:pPr>
      <w:bookmarkStart w:id="13" w:name="_Toc10103717"/>
      <w:bookmarkStart w:id="14" w:name="_Toc453767293"/>
      <w:r>
        <w:rPr>
          <w:rFonts w:hint="eastAsia"/>
          <w:b/>
          <w:sz w:val="24"/>
          <w:szCs w:val="24"/>
        </w:rPr>
        <w:t>招标项目一览表</w:t>
      </w:r>
      <w:bookmarkEnd w:id="13"/>
      <w:bookmarkEnd w:id="14"/>
    </w:p>
    <w:p>
      <w:pPr>
        <w:ind w:left="142"/>
        <w:rPr>
          <w:b/>
          <w:bCs/>
          <w:color w:val="000000"/>
          <w:sz w:val="24"/>
          <w:szCs w:val="24"/>
        </w:rPr>
      </w:pPr>
      <w:r>
        <w:rPr>
          <w:rFonts w:hint="eastAsia"/>
          <w:b/>
          <w:bCs/>
          <w:color w:val="000000"/>
          <w:sz w:val="24"/>
          <w:szCs w:val="24"/>
        </w:rPr>
        <w:t>（一）设备情况</w:t>
      </w:r>
    </w:p>
    <w:p>
      <w:pPr>
        <w:pStyle w:val="23"/>
        <w:spacing w:line="360" w:lineRule="auto"/>
        <w:ind w:left="510" w:firstLine="0" w:firstLineChars="0"/>
        <w:rPr>
          <w:b/>
          <w:sz w:val="24"/>
          <w:szCs w:val="24"/>
        </w:rPr>
      </w:pPr>
    </w:p>
    <w:p>
      <w:pPr>
        <w:rPr>
          <w:rFonts w:ascii="黑体" w:hAnsi="宋体" w:eastAsia="黑体"/>
          <w:b/>
          <w:color w:val="000000"/>
          <w:sz w:val="24"/>
          <w:szCs w:val="24"/>
        </w:rPr>
      </w:pPr>
      <w:r>
        <w:rPr>
          <w:rFonts w:hint="eastAsia" w:ascii="黑体" w:hAnsi="宋体" w:eastAsia="黑体"/>
          <w:b/>
          <w:color w:val="000000"/>
          <w:sz w:val="24"/>
          <w:szCs w:val="24"/>
        </w:rPr>
        <w:t>（二）维保执行规范及具体要求</w:t>
      </w:r>
    </w:p>
    <w:p>
      <w:pPr>
        <w:spacing w:line="276" w:lineRule="auto"/>
        <w:rPr>
          <w:rFonts w:ascii="黑体" w:hAnsi="宋体" w:eastAsia="黑体"/>
          <w:b/>
          <w:color w:val="000000"/>
          <w:sz w:val="24"/>
          <w:szCs w:val="24"/>
        </w:rPr>
      </w:pPr>
    </w:p>
    <w:tbl>
      <w:tblPr>
        <w:tblStyle w:val="14"/>
        <w:tblW w:w="11105" w:type="dxa"/>
        <w:tblInd w:w="-894" w:type="dxa"/>
        <w:tblLayout w:type="fixed"/>
        <w:tblCellMar>
          <w:top w:w="0" w:type="dxa"/>
          <w:left w:w="108" w:type="dxa"/>
          <w:bottom w:w="0" w:type="dxa"/>
          <w:right w:w="108" w:type="dxa"/>
        </w:tblCellMar>
      </w:tblPr>
      <w:tblGrid>
        <w:gridCol w:w="851"/>
        <w:gridCol w:w="851"/>
        <w:gridCol w:w="992"/>
        <w:gridCol w:w="1418"/>
        <w:gridCol w:w="2126"/>
        <w:gridCol w:w="709"/>
        <w:gridCol w:w="1275"/>
        <w:gridCol w:w="851"/>
        <w:gridCol w:w="709"/>
        <w:gridCol w:w="1323"/>
      </w:tblGrid>
      <w:tr>
        <w:tblPrEx>
          <w:tblCellMar>
            <w:top w:w="0" w:type="dxa"/>
            <w:left w:w="108" w:type="dxa"/>
            <w:bottom w:w="0" w:type="dxa"/>
            <w:right w:w="108" w:type="dxa"/>
          </w:tblCellMar>
        </w:tblPrEx>
        <w:trPr>
          <w:trHeight w:val="8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序号</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自编号</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设备类型</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生产厂商</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规格型号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数量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楼层</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速度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使用年限</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服务方式</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L2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电梯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PT21/20-19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26</w:t>
            </w:r>
          </w:p>
        </w:tc>
        <w:tc>
          <w:tcPr>
            <w:tcW w:w="851" w:type="dxa"/>
            <w:tcBorders>
              <w:top w:val="single" w:color="000000" w:sz="8" w:space="0"/>
              <w:left w:val="nil"/>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2.0m/s</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L3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电梯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PT21/20-19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single" w:color="000000" w:sz="8" w:space="0"/>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26</w:t>
            </w:r>
          </w:p>
        </w:tc>
        <w:tc>
          <w:tcPr>
            <w:tcW w:w="851" w:type="dxa"/>
            <w:tcBorders>
              <w:top w:val="nil"/>
              <w:left w:val="nil"/>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2.0m/s</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L4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电梯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PT21/20-19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single" w:color="000000" w:sz="8" w:space="0"/>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24</w:t>
            </w:r>
          </w:p>
        </w:tc>
        <w:tc>
          <w:tcPr>
            <w:tcW w:w="851" w:type="dxa"/>
            <w:tcBorders>
              <w:top w:val="nil"/>
              <w:left w:val="nil"/>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2.0m/s</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L5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电梯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PT21/20-19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single" w:color="000000" w:sz="8" w:space="0"/>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24</w:t>
            </w:r>
          </w:p>
        </w:tc>
        <w:tc>
          <w:tcPr>
            <w:tcW w:w="851" w:type="dxa"/>
            <w:tcBorders>
              <w:top w:val="nil"/>
              <w:left w:val="nil"/>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2.0m/s</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L6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电梯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PT21/20-19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single" w:color="000000" w:sz="8" w:space="0"/>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24</w:t>
            </w:r>
          </w:p>
        </w:tc>
        <w:tc>
          <w:tcPr>
            <w:tcW w:w="851" w:type="dxa"/>
            <w:tcBorders>
              <w:top w:val="nil"/>
              <w:left w:val="nil"/>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2.0m/s</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L7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电梯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PW18/25-19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single" w:color="000000" w:sz="8" w:space="0"/>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24</w:t>
            </w:r>
          </w:p>
        </w:tc>
        <w:tc>
          <w:tcPr>
            <w:tcW w:w="851" w:type="dxa"/>
            <w:tcBorders>
              <w:top w:val="nil"/>
              <w:left w:val="nil"/>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2.5m/s</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E1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扶梯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TravelMasterTM110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提升高度4.2M</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0.5M/S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E2</w:t>
            </w:r>
          </w:p>
        </w:tc>
        <w:tc>
          <w:tcPr>
            <w:tcW w:w="992" w:type="dxa"/>
            <w:tcBorders>
              <w:top w:val="nil"/>
              <w:left w:val="nil"/>
              <w:bottom w:val="single" w:color="auto" w:sz="4" w:space="0"/>
              <w:right w:val="single" w:color="auto" w:sz="4"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扶梯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同上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提升高度4.2M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0.5M/S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9</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E3</w:t>
            </w:r>
          </w:p>
        </w:tc>
        <w:tc>
          <w:tcPr>
            <w:tcW w:w="992" w:type="dxa"/>
            <w:tcBorders>
              <w:top w:val="nil"/>
              <w:left w:val="nil"/>
              <w:bottom w:val="single" w:color="auto" w:sz="4" w:space="0"/>
              <w:right w:val="single" w:color="auto" w:sz="4"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扶梯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同上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提升高度4.2M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0.5M/S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E4</w:t>
            </w:r>
          </w:p>
        </w:tc>
        <w:tc>
          <w:tcPr>
            <w:tcW w:w="992" w:type="dxa"/>
            <w:tcBorders>
              <w:top w:val="nil"/>
              <w:left w:val="nil"/>
              <w:bottom w:val="single" w:color="auto" w:sz="4" w:space="0"/>
              <w:right w:val="single" w:color="auto" w:sz="4"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扶梯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同上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提升高度4.2M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0.5M/S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E5</w:t>
            </w:r>
          </w:p>
        </w:tc>
        <w:tc>
          <w:tcPr>
            <w:tcW w:w="992" w:type="dxa"/>
            <w:tcBorders>
              <w:top w:val="nil"/>
              <w:left w:val="nil"/>
              <w:bottom w:val="single" w:color="auto" w:sz="4" w:space="0"/>
              <w:right w:val="single" w:color="auto" w:sz="4"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扶梯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同上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提升高度4.2M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0.5M/S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E6</w:t>
            </w:r>
          </w:p>
        </w:tc>
        <w:tc>
          <w:tcPr>
            <w:tcW w:w="992" w:type="dxa"/>
            <w:tcBorders>
              <w:top w:val="nil"/>
              <w:left w:val="nil"/>
              <w:bottom w:val="single" w:color="auto" w:sz="4" w:space="0"/>
              <w:right w:val="single" w:color="auto" w:sz="4"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扶梯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同上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提升高度4.2M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0.5M/S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E7</w:t>
            </w:r>
          </w:p>
        </w:tc>
        <w:tc>
          <w:tcPr>
            <w:tcW w:w="992" w:type="dxa"/>
            <w:tcBorders>
              <w:top w:val="nil"/>
              <w:left w:val="nil"/>
              <w:bottom w:val="single" w:color="auto" w:sz="4" w:space="0"/>
              <w:right w:val="single" w:color="auto" w:sz="4"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扶梯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同上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提升高度4.2M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0.5M/S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E8</w:t>
            </w:r>
          </w:p>
        </w:tc>
        <w:tc>
          <w:tcPr>
            <w:tcW w:w="992" w:type="dxa"/>
            <w:tcBorders>
              <w:top w:val="nil"/>
              <w:left w:val="nil"/>
              <w:bottom w:val="single" w:color="auto" w:sz="4" w:space="0"/>
              <w:right w:val="single" w:color="auto" w:sz="4"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扶梯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同上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提升高度4.2M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0.5M/S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85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杂1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货梯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哈尔滨达鑫电梯有限公司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DXTW100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1.0m/s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bl>
    <w:p>
      <w:pPr>
        <w:spacing w:line="276" w:lineRule="auto"/>
        <w:rPr>
          <w:rFonts w:ascii="黑体" w:hAnsi="宋体" w:eastAsia="黑体"/>
          <w:b/>
          <w:color w:val="000000"/>
          <w:sz w:val="24"/>
          <w:szCs w:val="24"/>
        </w:rPr>
      </w:pPr>
    </w:p>
    <w:p>
      <w:pPr>
        <w:spacing w:line="276" w:lineRule="auto"/>
        <w:rPr>
          <w:rFonts w:ascii="黑体" w:hAnsi="宋体" w:eastAsia="黑体"/>
          <w:b/>
          <w:color w:val="000000"/>
          <w:sz w:val="24"/>
          <w:szCs w:val="24"/>
        </w:rPr>
      </w:pPr>
    </w:p>
    <w:p>
      <w:pPr>
        <w:spacing w:line="276" w:lineRule="auto"/>
        <w:rPr>
          <w:rFonts w:ascii="黑体" w:hAnsi="宋体" w:eastAsia="黑体"/>
          <w:b/>
          <w:color w:val="000000"/>
          <w:sz w:val="24"/>
          <w:szCs w:val="24"/>
        </w:rPr>
      </w:pPr>
      <w:r>
        <w:rPr>
          <w:rFonts w:hint="eastAsia" w:ascii="黑体" w:hAnsi="宋体" w:eastAsia="黑体"/>
          <w:b/>
          <w:color w:val="000000"/>
          <w:sz w:val="24"/>
          <w:szCs w:val="24"/>
        </w:rPr>
        <w:t>电梯维保执行依据：</w:t>
      </w:r>
    </w:p>
    <w:p>
      <w:pPr>
        <w:spacing w:line="276"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（1）《中华人民共和国特种作业设备安全法》</w:t>
      </w:r>
    </w:p>
    <w:p>
      <w:pPr>
        <w:spacing w:line="276"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（2）《特种设备安全监察条例（国务院第549号令）》</w:t>
      </w:r>
    </w:p>
    <w:p>
      <w:pPr>
        <w:spacing w:line="276"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（4）《电梯制造与安装安全规范》（GB7588-2003)</w:t>
      </w:r>
    </w:p>
    <w:p>
      <w:pPr>
        <w:spacing w:line="276"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（5）《电梯使用与维护保养规则》TSGT5002-2017</w:t>
      </w:r>
    </w:p>
    <w:p>
      <w:pPr>
        <w:spacing w:line="276"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（6）《电梯维修规范》GB  T 18775 一2002</w:t>
      </w:r>
    </w:p>
    <w:p>
      <w:pPr>
        <w:spacing w:line="276"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（7）</w:t>
      </w:r>
      <w:r>
        <w:rPr>
          <w:rFonts w:ascii="黑体" w:hAnsi="宋体" w:eastAsia="黑体"/>
          <w:color w:val="000000"/>
          <w:sz w:val="24"/>
          <w:szCs w:val="24"/>
        </w:rPr>
        <w:t>其他相关适用法律法规的规定；</w:t>
      </w:r>
    </w:p>
    <w:p>
      <w:pPr>
        <w:spacing w:line="360" w:lineRule="auto"/>
        <w:rPr>
          <w:b/>
          <w:sz w:val="24"/>
        </w:rPr>
      </w:pPr>
      <w:r>
        <w:rPr>
          <w:rFonts w:hint="eastAsia"/>
          <w:b/>
          <w:sz w:val="24"/>
        </w:rPr>
        <w:t>（三）维保要求： </w:t>
      </w:r>
    </w:p>
    <w:p>
      <w:pPr>
        <w:spacing w:line="360" w:lineRule="auto"/>
        <w:rPr>
          <w:rFonts w:ascii="黑体" w:hAnsi="宋体" w:eastAsia="黑体"/>
          <w:color w:val="000000"/>
          <w:sz w:val="24"/>
          <w:szCs w:val="24"/>
        </w:rPr>
      </w:pPr>
      <w:r>
        <w:rPr>
          <w:rFonts w:hint="eastAsia" w:ascii="黑体" w:hAnsi="宋体" w:eastAsia="黑体"/>
          <w:color w:val="000000"/>
          <w:sz w:val="24"/>
          <w:szCs w:val="24"/>
        </w:rPr>
        <w:t>（一）指派受过专业培训、有资质的技术人员，根据国家技监局规定，每月至少2次，每次间隔不超过15天，对电梯进行日常维保、检修等服务。其主要工作范围如下： </w:t>
      </w:r>
    </w:p>
    <w:p>
      <w:pPr>
        <w:spacing w:line="360" w:lineRule="auto"/>
        <w:rPr>
          <w:rFonts w:ascii="黑体" w:hAnsi="宋体" w:eastAsia="黑体"/>
          <w:color w:val="000000"/>
          <w:sz w:val="24"/>
          <w:szCs w:val="24"/>
        </w:rPr>
      </w:pPr>
      <w:r>
        <w:rPr>
          <w:rFonts w:hint="eastAsia" w:ascii="黑体" w:hAnsi="宋体" w:eastAsia="黑体"/>
          <w:color w:val="000000"/>
          <w:sz w:val="24"/>
          <w:szCs w:val="24"/>
        </w:rPr>
        <w:t>1、根据国家规定、行业技术要求进行电梯维保。</w:t>
      </w:r>
    </w:p>
    <w:p>
      <w:pPr>
        <w:spacing w:line="360" w:lineRule="auto"/>
        <w:rPr>
          <w:rFonts w:ascii="黑体" w:hAnsi="宋体" w:eastAsia="黑体"/>
          <w:color w:val="000000"/>
          <w:sz w:val="24"/>
          <w:szCs w:val="24"/>
        </w:rPr>
      </w:pPr>
      <w:r>
        <w:rPr>
          <w:rFonts w:hint="eastAsia" w:ascii="黑体" w:hAnsi="宋体" w:eastAsia="黑体"/>
          <w:color w:val="000000"/>
          <w:sz w:val="24"/>
          <w:szCs w:val="24"/>
        </w:rPr>
        <w:t>2、安装国家特种设备管理要求进行管理、维护、保养并提交相关原始档案（如：半月维保项目、半年维保项目、年度维保项目等）。</w:t>
      </w:r>
    </w:p>
    <w:p>
      <w:pPr>
        <w:spacing w:line="360" w:lineRule="auto"/>
        <w:rPr>
          <w:rFonts w:ascii="黑体" w:hAnsi="宋体" w:eastAsia="黑体"/>
          <w:color w:val="000000"/>
          <w:sz w:val="24"/>
          <w:szCs w:val="24"/>
        </w:rPr>
      </w:pPr>
      <w:r>
        <w:rPr>
          <w:rFonts w:hint="eastAsia" w:ascii="黑体" w:hAnsi="宋体" w:eastAsia="黑体"/>
          <w:color w:val="000000"/>
          <w:sz w:val="24"/>
          <w:szCs w:val="24"/>
        </w:rPr>
        <w:t>3、确保原厂电梯配件的及时供给，并执行润滑工作。 </w:t>
      </w:r>
    </w:p>
    <w:p>
      <w:pPr>
        <w:spacing w:line="360" w:lineRule="auto"/>
        <w:rPr>
          <w:rFonts w:ascii="黑体" w:hAnsi="宋体" w:eastAsia="黑体"/>
          <w:color w:val="000000"/>
          <w:sz w:val="24"/>
          <w:szCs w:val="24"/>
        </w:rPr>
      </w:pPr>
      <w:r>
        <w:rPr>
          <w:rFonts w:hint="eastAsia" w:ascii="黑体" w:hAnsi="宋体" w:eastAsia="黑体"/>
          <w:color w:val="000000"/>
          <w:sz w:val="24"/>
          <w:szCs w:val="24"/>
        </w:rPr>
        <w:t>4、保养加油及调整下列各项设备： </w:t>
      </w:r>
    </w:p>
    <w:p>
      <w:pPr>
        <w:spacing w:line="360" w:lineRule="auto"/>
        <w:rPr>
          <w:rFonts w:ascii="黑体" w:hAnsi="宋体" w:eastAsia="黑体"/>
          <w:color w:val="000000"/>
          <w:sz w:val="24"/>
          <w:szCs w:val="24"/>
        </w:rPr>
      </w:pPr>
      <w:r>
        <w:rPr>
          <w:rFonts w:hint="eastAsia" w:ascii="黑体" w:hAnsi="宋体" w:eastAsia="黑体"/>
          <w:color w:val="000000"/>
          <w:sz w:val="24"/>
          <w:szCs w:val="24"/>
        </w:rPr>
        <w:t>（1）机房内之曳引机、电动机、控制柜及限速器等。 </w:t>
      </w:r>
    </w:p>
    <w:p>
      <w:pPr>
        <w:spacing w:line="360" w:lineRule="auto"/>
        <w:rPr>
          <w:rFonts w:ascii="黑体" w:hAnsi="宋体" w:eastAsia="黑体"/>
          <w:color w:val="000000"/>
          <w:sz w:val="24"/>
          <w:szCs w:val="24"/>
        </w:rPr>
      </w:pPr>
      <w:r>
        <w:rPr>
          <w:rFonts w:hint="eastAsia" w:ascii="黑体" w:hAnsi="宋体" w:eastAsia="黑体"/>
          <w:color w:val="000000"/>
          <w:sz w:val="24"/>
          <w:szCs w:val="24"/>
        </w:rPr>
        <w:t>（2）轿厢顶上之一切安全装置。 </w:t>
      </w:r>
    </w:p>
    <w:p>
      <w:pPr>
        <w:spacing w:line="360" w:lineRule="auto"/>
        <w:rPr>
          <w:rFonts w:ascii="黑体" w:hAnsi="宋体" w:eastAsia="黑体"/>
          <w:color w:val="000000"/>
          <w:sz w:val="24"/>
          <w:szCs w:val="24"/>
        </w:rPr>
      </w:pPr>
      <w:r>
        <w:rPr>
          <w:rFonts w:hint="eastAsia" w:ascii="黑体" w:hAnsi="宋体" w:eastAsia="黑体"/>
          <w:color w:val="000000"/>
          <w:sz w:val="24"/>
          <w:szCs w:val="24"/>
        </w:rPr>
        <w:t>（3）井道内之导轨、对重、缓冲器、保险装置、极限开关及有关安全装置。 </w:t>
      </w:r>
    </w:p>
    <w:p>
      <w:pPr>
        <w:spacing w:line="360" w:lineRule="auto"/>
        <w:rPr>
          <w:rFonts w:ascii="黑体" w:hAnsi="宋体" w:eastAsia="黑体"/>
          <w:color w:val="000000"/>
          <w:sz w:val="24"/>
          <w:szCs w:val="24"/>
        </w:rPr>
      </w:pPr>
      <w:r>
        <w:rPr>
          <w:rFonts w:hint="eastAsia" w:ascii="黑体" w:hAnsi="宋体" w:eastAsia="黑体"/>
          <w:color w:val="000000"/>
          <w:sz w:val="24"/>
          <w:szCs w:val="24"/>
        </w:rPr>
        <w:t>5、保持导轨适当之润滑，使导靴运行正常。 </w:t>
      </w:r>
    </w:p>
    <w:p>
      <w:pPr>
        <w:spacing w:line="360" w:lineRule="auto"/>
        <w:rPr>
          <w:rFonts w:ascii="黑体" w:hAnsi="宋体" w:eastAsia="黑体"/>
          <w:color w:val="000000"/>
          <w:sz w:val="24"/>
          <w:szCs w:val="24"/>
        </w:rPr>
      </w:pPr>
      <w:r>
        <w:rPr>
          <w:rFonts w:hint="eastAsia" w:ascii="黑体" w:hAnsi="宋体" w:eastAsia="黑体"/>
          <w:color w:val="000000"/>
          <w:sz w:val="24"/>
          <w:szCs w:val="24"/>
        </w:rPr>
        <w:t>6、检查及平衡曳引机钢丝绳之张力。 </w:t>
      </w:r>
    </w:p>
    <w:p>
      <w:pPr>
        <w:spacing w:line="360" w:lineRule="auto"/>
        <w:rPr>
          <w:rFonts w:ascii="黑体" w:hAnsi="宋体" w:eastAsia="黑体"/>
          <w:color w:val="000000"/>
          <w:sz w:val="24"/>
          <w:szCs w:val="24"/>
        </w:rPr>
      </w:pPr>
      <w:r>
        <w:rPr>
          <w:rFonts w:hint="eastAsia" w:ascii="黑体" w:hAnsi="宋体" w:eastAsia="黑体"/>
          <w:color w:val="000000"/>
          <w:sz w:val="24"/>
          <w:szCs w:val="24"/>
        </w:rPr>
        <w:t>7、定期检修限速器，安全钳及各项安全装置，且每年作一次例行安全实验。 </w:t>
      </w:r>
    </w:p>
    <w:p>
      <w:pPr>
        <w:spacing w:line="360" w:lineRule="auto"/>
        <w:rPr>
          <w:rFonts w:ascii="黑体" w:hAnsi="宋体" w:eastAsia="黑体"/>
          <w:color w:val="000000"/>
          <w:sz w:val="24"/>
          <w:szCs w:val="24"/>
        </w:rPr>
      </w:pPr>
      <w:r>
        <w:rPr>
          <w:rFonts w:hint="eastAsia" w:ascii="黑体" w:hAnsi="宋体" w:eastAsia="黑体"/>
          <w:color w:val="000000"/>
          <w:sz w:val="24"/>
          <w:szCs w:val="24"/>
        </w:rPr>
        <w:t>8、维修保养质量按有关部门检验标准执行。 </w:t>
      </w:r>
    </w:p>
    <w:p>
      <w:pPr>
        <w:spacing w:line="360" w:lineRule="auto"/>
        <w:rPr>
          <w:rFonts w:ascii="黑体" w:hAnsi="宋体" w:eastAsia="黑体"/>
          <w:color w:val="000000"/>
          <w:sz w:val="24"/>
          <w:szCs w:val="24"/>
        </w:rPr>
      </w:pPr>
      <w:r>
        <w:rPr>
          <w:rFonts w:hint="eastAsia" w:ascii="黑体" w:hAnsi="宋体" w:eastAsia="黑体"/>
          <w:color w:val="000000"/>
          <w:sz w:val="24"/>
          <w:szCs w:val="24"/>
        </w:rPr>
        <w:t>9、在维保过程中发现自然磨损需要更换的配件，应主动进行更换且必须是原装配件。 </w:t>
      </w:r>
    </w:p>
    <w:p>
      <w:pPr>
        <w:spacing w:line="360" w:lineRule="auto"/>
        <w:rPr>
          <w:rFonts w:ascii="黑体" w:hAnsi="宋体" w:eastAsia="黑体"/>
          <w:color w:val="000000"/>
          <w:sz w:val="24"/>
          <w:szCs w:val="24"/>
        </w:rPr>
      </w:pPr>
      <w:r>
        <w:rPr>
          <w:rFonts w:hint="eastAsia" w:ascii="黑体" w:hAnsi="宋体" w:eastAsia="黑体"/>
          <w:color w:val="000000"/>
          <w:sz w:val="24"/>
          <w:szCs w:val="24"/>
        </w:rPr>
        <w:t>10、中标方负责协助电扶梯的政府定期检验工作，政府电梯定期检验费用由招标方承担。国家有关安全标准的法律规定发生改变时，乙方将及时书面通知甲方，并为招标方进行此安全设备的安装、调试工作，使其符合新的安全标准，相关人工、材料费用由招标方承担。</w:t>
      </w:r>
      <w:r>
        <w:rPr>
          <w:rFonts w:ascii="黑体" w:hAnsi="宋体" w:eastAsia="黑体"/>
          <w:color w:val="000000"/>
          <w:sz w:val="24"/>
          <w:szCs w:val="24"/>
        </w:rPr>
        <w:t>对于政府定期检验中建议更换的零件，乙方应及时更换。</w:t>
      </w:r>
    </w:p>
    <w:p>
      <w:pPr>
        <w:spacing w:line="360" w:lineRule="auto"/>
        <w:rPr>
          <w:rFonts w:ascii="黑体" w:hAnsi="宋体" w:eastAsia="黑体"/>
          <w:color w:val="000000"/>
          <w:sz w:val="24"/>
          <w:szCs w:val="24"/>
        </w:rPr>
      </w:pPr>
      <w:r>
        <w:rPr>
          <w:rFonts w:hint="eastAsia" w:ascii="黑体" w:hAnsi="宋体" w:eastAsia="黑体"/>
          <w:color w:val="000000"/>
          <w:sz w:val="24"/>
          <w:szCs w:val="24"/>
        </w:rPr>
        <w:t>11、中标方提供全日24小时紧急修理服务，在30分钟内到达现场处理故障。若故障有乘客困于电梯内，乙方承诺根据已接到的甲方通知，在15分钟内到达现场处理。电梯故障严重，乙方加派维修人员，24小时内恢复正常运行。</w:t>
      </w:r>
    </w:p>
    <w:p>
      <w:pPr>
        <w:spacing w:line="360" w:lineRule="auto"/>
        <w:rPr>
          <w:rFonts w:ascii="黑体" w:hAnsi="宋体" w:eastAsia="黑体"/>
          <w:color w:val="000000"/>
          <w:sz w:val="24"/>
          <w:szCs w:val="24"/>
        </w:rPr>
      </w:pPr>
      <w:r>
        <w:rPr>
          <w:rFonts w:hint="eastAsia" w:ascii="黑体" w:hAnsi="宋体" w:eastAsia="黑体"/>
          <w:color w:val="000000"/>
          <w:sz w:val="24"/>
          <w:szCs w:val="24"/>
        </w:rPr>
        <w:t>12、因乙方维护保养不当原因导致电梯定期检验不合格的，乙方应当承担电梯复验费用。</w:t>
      </w:r>
    </w:p>
    <w:p>
      <w:pPr>
        <w:spacing w:line="360" w:lineRule="auto"/>
        <w:rPr>
          <w:rFonts w:ascii="黑体" w:hAnsi="宋体" w:eastAsia="黑体"/>
          <w:color w:val="000000"/>
          <w:sz w:val="24"/>
          <w:szCs w:val="24"/>
        </w:rPr>
      </w:pPr>
      <w:r>
        <w:rPr>
          <w:rFonts w:hint="eastAsia" w:ascii="黑体" w:hAnsi="宋体" w:eastAsia="黑体"/>
          <w:color w:val="000000"/>
          <w:sz w:val="24"/>
          <w:szCs w:val="24"/>
        </w:rPr>
        <w:t>13、甲方如遇重要场合，乙方提供专业技术人员进行保驾护航服务。</w:t>
      </w:r>
    </w:p>
    <w:p>
      <w:pPr>
        <w:spacing w:line="360" w:lineRule="auto"/>
        <w:rPr>
          <w:rFonts w:ascii="黑体" w:hAnsi="宋体" w:eastAsia="黑体"/>
          <w:color w:val="000000"/>
          <w:sz w:val="24"/>
          <w:szCs w:val="24"/>
        </w:rPr>
      </w:pPr>
      <w:r>
        <w:rPr>
          <w:rFonts w:hint="eastAsia" w:ascii="黑体" w:hAnsi="宋体" w:eastAsia="黑体"/>
          <w:color w:val="000000"/>
          <w:sz w:val="24"/>
          <w:szCs w:val="24"/>
        </w:rPr>
        <w:t>14、在招标方要求的情况下，中标方免费提供年度维保服务报告，对一个维保服务周期内的设备运行状况做详细汇总。</w:t>
      </w:r>
    </w:p>
    <w:p>
      <w:pPr>
        <w:spacing w:line="360" w:lineRule="auto"/>
        <w:rPr>
          <w:rFonts w:ascii="黑体" w:hAnsi="宋体" w:eastAsia="黑体"/>
          <w:color w:val="000000"/>
          <w:sz w:val="24"/>
          <w:szCs w:val="24"/>
        </w:rPr>
      </w:pPr>
      <w:r>
        <w:rPr>
          <w:rFonts w:hint="eastAsia" w:ascii="黑体" w:hAnsi="宋体" w:eastAsia="黑体"/>
          <w:color w:val="000000"/>
          <w:sz w:val="24"/>
          <w:szCs w:val="24"/>
        </w:rPr>
        <w:t>15、中标方应定期对常驻维保员进行定期培训，并建立三级培训教育卡，培训情况定期接受甲方监督。</w:t>
      </w:r>
    </w:p>
    <w:p>
      <w:pPr>
        <w:spacing w:line="360" w:lineRule="auto"/>
        <w:rPr>
          <w:rFonts w:ascii="宋体" w:hAnsi="宋体" w:cs="宋体"/>
          <w:b/>
          <w:sz w:val="24"/>
          <w:szCs w:val="24"/>
        </w:rPr>
      </w:pPr>
      <w:r>
        <w:rPr>
          <w:rFonts w:hint="eastAsia" w:ascii="宋体" w:hAnsi="宋体" w:cs="宋体"/>
          <w:b/>
          <w:sz w:val="24"/>
          <w:szCs w:val="24"/>
        </w:rPr>
        <w:t>（四）电梯</w:t>
      </w:r>
      <w:r>
        <w:rPr>
          <w:rFonts w:hint="eastAsia" w:ascii="宋体" w:hAnsi="宋体" w:cs="宋体"/>
          <w:sz w:val="24"/>
          <w:szCs w:val="24"/>
        </w:rPr>
        <w:t>日</w:t>
      </w:r>
      <w:r>
        <w:rPr>
          <w:rFonts w:hint="eastAsia" w:ascii="宋体" w:hAnsi="宋体" w:cs="宋体"/>
          <w:b/>
          <w:sz w:val="24"/>
          <w:szCs w:val="24"/>
        </w:rPr>
        <w:t>常维护保养项目（内容）和要求如下：</w:t>
      </w:r>
    </w:p>
    <w:p>
      <w:pPr>
        <w:spacing w:line="360" w:lineRule="auto"/>
        <w:rPr>
          <w:rFonts w:ascii="宋体" w:hAnsi="宋体" w:cs="宋体"/>
          <w:sz w:val="24"/>
          <w:szCs w:val="24"/>
        </w:rPr>
      </w:pPr>
      <w:r>
        <w:rPr>
          <w:rFonts w:hint="eastAsia" w:ascii="宋体" w:hAnsi="宋体" w:cs="宋体"/>
          <w:sz w:val="24"/>
          <w:szCs w:val="24"/>
        </w:rPr>
        <w:t>表A-1  半月维保项目（内容）和要求</w:t>
      </w:r>
    </w:p>
    <w:tbl>
      <w:tblPr>
        <w:tblStyle w:val="14"/>
        <w:tblW w:w="0" w:type="auto"/>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391"/>
        <w:gridCol w:w="52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序号</w:t>
            </w:r>
          </w:p>
        </w:tc>
        <w:tc>
          <w:tcPr>
            <w:tcW w:w="3391" w:type="dxa"/>
            <w:vAlign w:val="center"/>
          </w:tcPr>
          <w:p>
            <w:pPr>
              <w:rPr>
                <w:rFonts w:ascii="宋体" w:hAnsi="宋体" w:cs="宋体"/>
                <w:sz w:val="24"/>
                <w:szCs w:val="24"/>
              </w:rPr>
            </w:pPr>
            <w:r>
              <w:rPr>
                <w:rFonts w:hint="eastAsia" w:ascii="宋体" w:hAnsi="宋体" w:cs="宋体"/>
                <w:sz w:val="24"/>
                <w:szCs w:val="24"/>
              </w:rPr>
              <w:t>维保项目（内容）</w:t>
            </w:r>
          </w:p>
        </w:tc>
        <w:tc>
          <w:tcPr>
            <w:tcW w:w="5245" w:type="dxa"/>
            <w:vAlign w:val="center"/>
          </w:tcPr>
          <w:p>
            <w:pPr>
              <w:rPr>
                <w:rFonts w:ascii="宋体" w:hAnsi="宋体" w:cs="宋体"/>
                <w:sz w:val="24"/>
                <w:szCs w:val="24"/>
              </w:rPr>
            </w:pPr>
            <w:r>
              <w:rPr>
                <w:rFonts w:hint="eastAsia" w:ascii="宋体" w:hAnsi="宋体" w:cs="宋体"/>
                <w:sz w:val="24"/>
                <w:szCs w:val="24"/>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1</w:t>
            </w:r>
          </w:p>
        </w:tc>
        <w:tc>
          <w:tcPr>
            <w:tcW w:w="3391" w:type="dxa"/>
            <w:vAlign w:val="center"/>
          </w:tcPr>
          <w:p>
            <w:pPr>
              <w:rPr>
                <w:rFonts w:ascii="宋体" w:hAnsi="宋体" w:cs="宋体"/>
                <w:sz w:val="24"/>
                <w:szCs w:val="24"/>
              </w:rPr>
            </w:pPr>
            <w:r>
              <w:rPr>
                <w:rFonts w:hint="eastAsia" w:ascii="宋体" w:hAnsi="宋体" w:cs="宋体"/>
                <w:sz w:val="24"/>
                <w:szCs w:val="24"/>
              </w:rPr>
              <w:t>机房、滑轮间环境</w:t>
            </w:r>
          </w:p>
        </w:tc>
        <w:tc>
          <w:tcPr>
            <w:tcW w:w="5245" w:type="dxa"/>
            <w:vAlign w:val="center"/>
          </w:tcPr>
          <w:p>
            <w:pPr>
              <w:rPr>
                <w:rFonts w:ascii="宋体" w:hAnsi="宋体" w:cs="宋体"/>
                <w:sz w:val="24"/>
                <w:szCs w:val="24"/>
              </w:rPr>
            </w:pPr>
            <w:r>
              <w:rPr>
                <w:rFonts w:hint="eastAsia" w:ascii="宋体" w:hAnsi="宋体" w:cs="宋体"/>
                <w:sz w:val="24"/>
                <w:szCs w:val="24"/>
              </w:rPr>
              <w:t xml:space="preserve">清洁，门窗完好、照明正常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2</w:t>
            </w:r>
          </w:p>
        </w:tc>
        <w:tc>
          <w:tcPr>
            <w:tcW w:w="3391" w:type="dxa"/>
            <w:vAlign w:val="center"/>
          </w:tcPr>
          <w:p>
            <w:pPr>
              <w:rPr>
                <w:rFonts w:ascii="宋体" w:hAnsi="宋体" w:cs="宋体"/>
                <w:sz w:val="24"/>
                <w:szCs w:val="24"/>
              </w:rPr>
            </w:pPr>
            <w:r>
              <w:rPr>
                <w:rFonts w:hint="eastAsia" w:ascii="宋体" w:hAnsi="宋体" w:cs="宋体"/>
                <w:sz w:val="24"/>
                <w:szCs w:val="24"/>
              </w:rPr>
              <w:t>手动紧急操作装置</w:t>
            </w:r>
          </w:p>
        </w:tc>
        <w:tc>
          <w:tcPr>
            <w:tcW w:w="5245" w:type="dxa"/>
            <w:vAlign w:val="center"/>
          </w:tcPr>
          <w:p>
            <w:pPr>
              <w:rPr>
                <w:rFonts w:ascii="宋体" w:hAnsi="宋体" w:cs="宋体"/>
                <w:sz w:val="24"/>
                <w:szCs w:val="24"/>
              </w:rPr>
            </w:pPr>
            <w:r>
              <w:rPr>
                <w:rFonts w:hint="eastAsia" w:ascii="宋体" w:hAnsi="宋体" w:cs="宋体"/>
                <w:sz w:val="24"/>
                <w:szCs w:val="24"/>
              </w:rPr>
              <w:t>齐全，在指定位置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3</w:t>
            </w:r>
          </w:p>
        </w:tc>
        <w:tc>
          <w:tcPr>
            <w:tcW w:w="3391" w:type="dxa"/>
            <w:vAlign w:val="center"/>
          </w:tcPr>
          <w:p>
            <w:pPr>
              <w:rPr>
                <w:rFonts w:ascii="宋体" w:hAnsi="宋体" w:cs="宋体"/>
                <w:sz w:val="24"/>
                <w:szCs w:val="24"/>
              </w:rPr>
            </w:pPr>
            <w:r>
              <w:rPr>
                <w:rFonts w:hint="eastAsia" w:ascii="宋体" w:hAnsi="宋体" w:cs="宋体"/>
                <w:sz w:val="24"/>
                <w:szCs w:val="24"/>
              </w:rPr>
              <w:t>曳引机</w:t>
            </w:r>
          </w:p>
        </w:tc>
        <w:tc>
          <w:tcPr>
            <w:tcW w:w="5245" w:type="dxa"/>
            <w:vAlign w:val="center"/>
          </w:tcPr>
          <w:p>
            <w:pPr>
              <w:rPr>
                <w:rFonts w:ascii="宋体" w:hAnsi="宋体" w:cs="宋体"/>
                <w:sz w:val="24"/>
                <w:szCs w:val="24"/>
              </w:rPr>
            </w:pPr>
            <w:r>
              <w:rPr>
                <w:rFonts w:hint="eastAsia" w:ascii="宋体" w:hAnsi="宋体" w:cs="宋体"/>
                <w:sz w:val="24"/>
                <w:szCs w:val="24"/>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4</w:t>
            </w:r>
          </w:p>
        </w:tc>
        <w:tc>
          <w:tcPr>
            <w:tcW w:w="3391" w:type="dxa"/>
            <w:vAlign w:val="center"/>
          </w:tcPr>
          <w:p>
            <w:pPr>
              <w:rPr>
                <w:rFonts w:ascii="宋体" w:hAnsi="宋体" w:cs="宋体"/>
                <w:sz w:val="24"/>
                <w:szCs w:val="24"/>
              </w:rPr>
            </w:pPr>
            <w:r>
              <w:rPr>
                <w:rFonts w:hint="eastAsia" w:ascii="宋体" w:hAnsi="宋体" w:cs="宋体"/>
                <w:sz w:val="24"/>
                <w:szCs w:val="24"/>
              </w:rPr>
              <w:t>制动器各销轴部位</w:t>
            </w:r>
          </w:p>
        </w:tc>
        <w:tc>
          <w:tcPr>
            <w:tcW w:w="5245" w:type="dxa"/>
            <w:vAlign w:val="center"/>
          </w:tcPr>
          <w:p>
            <w:pPr>
              <w:rPr>
                <w:rFonts w:ascii="宋体" w:hAnsi="宋体" w:cs="宋体"/>
                <w:sz w:val="24"/>
                <w:szCs w:val="24"/>
              </w:rPr>
            </w:pPr>
            <w:r>
              <w:rPr>
                <w:rFonts w:hint="eastAsia" w:ascii="宋体" w:hAnsi="宋体" w:cs="宋体"/>
                <w:sz w:val="24"/>
                <w:szCs w:val="24"/>
              </w:rPr>
              <w:t>润滑，动作灵活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5</w:t>
            </w:r>
          </w:p>
        </w:tc>
        <w:tc>
          <w:tcPr>
            <w:tcW w:w="3391" w:type="dxa"/>
            <w:vAlign w:val="center"/>
          </w:tcPr>
          <w:p>
            <w:pPr>
              <w:rPr>
                <w:rFonts w:ascii="宋体" w:hAnsi="宋体" w:cs="宋体"/>
                <w:sz w:val="24"/>
                <w:szCs w:val="24"/>
              </w:rPr>
            </w:pPr>
            <w:r>
              <w:rPr>
                <w:rFonts w:hint="eastAsia" w:ascii="宋体" w:hAnsi="宋体" w:cs="宋体"/>
                <w:sz w:val="24"/>
                <w:szCs w:val="24"/>
              </w:rPr>
              <w:t>制动器间隙</w:t>
            </w:r>
          </w:p>
        </w:tc>
        <w:tc>
          <w:tcPr>
            <w:tcW w:w="5245" w:type="dxa"/>
            <w:vAlign w:val="center"/>
          </w:tcPr>
          <w:p>
            <w:pPr>
              <w:rPr>
                <w:rFonts w:ascii="宋体" w:hAnsi="宋体" w:cs="宋体"/>
                <w:sz w:val="24"/>
                <w:szCs w:val="24"/>
              </w:rPr>
            </w:pPr>
            <w:r>
              <w:rPr>
                <w:rFonts w:hint="eastAsia" w:ascii="宋体" w:hAnsi="宋体" w:cs="宋体"/>
                <w:sz w:val="24"/>
                <w:szCs w:val="24"/>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6</w:t>
            </w:r>
          </w:p>
        </w:tc>
        <w:tc>
          <w:tcPr>
            <w:tcW w:w="3391" w:type="dxa"/>
            <w:vAlign w:val="center"/>
          </w:tcPr>
          <w:p>
            <w:pPr>
              <w:rPr>
                <w:rFonts w:ascii="宋体" w:hAnsi="宋体" w:cs="宋体"/>
                <w:sz w:val="24"/>
                <w:szCs w:val="24"/>
              </w:rPr>
            </w:pPr>
            <w:r>
              <w:rPr>
                <w:rFonts w:hint="eastAsia" w:ascii="宋体" w:hAnsi="宋体" w:cs="宋体"/>
                <w:sz w:val="24"/>
                <w:szCs w:val="24"/>
              </w:rPr>
              <w:t>制动器作为轿厢意外移动保护装置制停子系统时的自检测</w:t>
            </w:r>
          </w:p>
        </w:tc>
        <w:tc>
          <w:tcPr>
            <w:tcW w:w="5245" w:type="dxa"/>
            <w:vAlign w:val="center"/>
          </w:tcPr>
          <w:p>
            <w:pPr>
              <w:rPr>
                <w:rFonts w:ascii="宋体" w:hAnsi="宋体" w:cs="宋体"/>
                <w:sz w:val="24"/>
                <w:szCs w:val="24"/>
              </w:rPr>
            </w:pPr>
            <w:r>
              <w:rPr>
                <w:rFonts w:hint="eastAsia" w:ascii="宋体" w:hAnsi="宋体" w:cs="宋体"/>
                <w:sz w:val="24"/>
                <w:szCs w:val="24"/>
              </w:rPr>
              <w:t>制动力人工方式检测符合使用维护说明书要求；制动力自监测系统有记录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7</w:t>
            </w:r>
          </w:p>
        </w:tc>
        <w:tc>
          <w:tcPr>
            <w:tcW w:w="3391" w:type="dxa"/>
            <w:vAlign w:val="center"/>
          </w:tcPr>
          <w:p>
            <w:pPr>
              <w:rPr>
                <w:rFonts w:ascii="宋体" w:hAnsi="宋体" w:cs="宋体"/>
                <w:sz w:val="24"/>
                <w:szCs w:val="24"/>
              </w:rPr>
            </w:pPr>
            <w:r>
              <w:rPr>
                <w:rFonts w:hint="eastAsia" w:ascii="宋体" w:hAnsi="宋体" w:cs="宋体"/>
                <w:sz w:val="24"/>
                <w:szCs w:val="24"/>
              </w:rPr>
              <w:t>编码器</w:t>
            </w:r>
          </w:p>
        </w:tc>
        <w:tc>
          <w:tcPr>
            <w:tcW w:w="5245" w:type="dxa"/>
            <w:vAlign w:val="center"/>
          </w:tcPr>
          <w:p>
            <w:pPr>
              <w:rPr>
                <w:rFonts w:ascii="宋体" w:hAnsi="宋体" w:cs="宋体"/>
                <w:sz w:val="24"/>
                <w:szCs w:val="24"/>
              </w:rPr>
            </w:pPr>
            <w:r>
              <w:rPr>
                <w:rFonts w:hint="eastAsia" w:ascii="宋体" w:hAnsi="宋体" w:cs="宋体"/>
                <w:sz w:val="24"/>
                <w:szCs w:val="24"/>
              </w:rPr>
              <w:t>清洁，安装牢固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8</w:t>
            </w:r>
          </w:p>
        </w:tc>
        <w:tc>
          <w:tcPr>
            <w:tcW w:w="3391" w:type="dxa"/>
            <w:vAlign w:val="center"/>
          </w:tcPr>
          <w:p>
            <w:pPr>
              <w:rPr>
                <w:rFonts w:ascii="宋体" w:hAnsi="宋体" w:cs="宋体"/>
                <w:sz w:val="24"/>
                <w:szCs w:val="24"/>
              </w:rPr>
            </w:pPr>
            <w:r>
              <w:rPr>
                <w:rFonts w:hint="eastAsia" w:ascii="宋体" w:hAnsi="宋体" w:cs="宋体"/>
                <w:sz w:val="24"/>
                <w:szCs w:val="24"/>
              </w:rPr>
              <w:t>限速器各销轴部位</w:t>
            </w:r>
          </w:p>
        </w:tc>
        <w:tc>
          <w:tcPr>
            <w:tcW w:w="5245" w:type="dxa"/>
            <w:vAlign w:val="center"/>
          </w:tcPr>
          <w:p>
            <w:pPr>
              <w:rPr>
                <w:rFonts w:ascii="宋体" w:hAnsi="宋体" w:cs="宋体"/>
                <w:sz w:val="24"/>
                <w:szCs w:val="24"/>
              </w:rPr>
            </w:pPr>
            <w:r>
              <w:rPr>
                <w:rFonts w:hint="eastAsia" w:ascii="宋体" w:hAnsi="宋体" w:cs="宋体"/>
                <w:sz w:val="24"/>
                <w:szCs w:val="24"/>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9</w:t>
            </w:r>
          </w:p>
        </w:tc>
        <w:tc>
          <w:tcPr>
            <w:tcW w:w="3391" w:type="dxa"/>
            <w:vAlign w:val="center"/>
          </w:tcPr>
          <w:p>
            <w:pPr>
              <w:rPr>
                <w:rFonts w:ascii="宋体" w:hAnsi="宋体" w:cs="宋体"/>
                <w:sz w:val="24"/>
                <w:szCs w:val="24"/>
              </w:rPr>
            </w:pPr>
            <w:r>
              <w:rPr>
                <w:rFonts w:hint="eastAsia" w:ascii="宋体" w:hAnsi="宋体" w:cs="宋体"/>
                <w:sz w:val="24"/>
                <w:szCs w:val="24"/>
              </w:rPr>
              <w:t>层门和轿门旁路装置</w:t>
            </w:r>
          </w:p>
        </w:tc>
        <w:tc>
          <w:tcPr>
            <w:tcW w:w="5245" w:type="dxa"/>
            <w:vAlign w:val="center"/>
          </w:tcPr>
          <w:p>
            <w:pPr>
              <w:rPr>
                <w:rFonts w:ascii="宋体" w:hAnsi="宋体" w:cs="宋体"/>
                <w:sz w:val="24"/>
                <w:szCs w:val="24"/>
              </w:rPr>
            </w:pPr>
            <w:r>
              <w:rPr>
                <w:rFonts w:hint="eastAsia" w:ascii="宋体" w:hAnsi="宋体" w:cs="宋体"/>
                <w:sz w:val="24"/>
                <w:szCs w:val="24"/>
              </w:rPr>
              <w:t>正常工作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10</w:t>
            </w:r>
          </w:p>
        </w:tc>
        <w:tc>
          <w:tcPr>
            <w:tcW w:w="3391" w:type="dxa"/>
            <w:vAlign w:val="center"/>
          </w:tcPr>
          <w:p>
            <w:pPr>
              <w:rPr>
                <w:rFonts w:ascii="宋体" w:hAnsi="宋体" w:cs="宋体"/>
                <w:sz w:val="24"/>
                <w:szCs w:val="24"/>
              </w:rPr>
            </w:pPr>
            <w:r>
              <w:rPr>
                <w:rFonts w:hint="eastAsia" w:ascii="宋体" w:hAnsi="宋体" w:cs="宋体"/>
                <w:sz w:val="24"/>
                <w:szCs w:val="24"/>
              </w:rPr>
              <w:t>紧急电动运行</w:t>
            </w:r>
          </w:p>
        </w:tc>
        <w:tc>
          <w:tcPr>
            <w:tcW w:w="5245" w:type="dxa"/>
            <w:vAlign w:val="center"/>
          </w:tcPr>
          <w:p>
            <w:pPr>
              <w:rPr>
                <w:rFonts w:ascii="宋体" w:hAnsi="宋体" w:cs="宋体"/>
                <w:sz w:val="24"/>
                <w:szCs w:val="24"/>
              </w:rPr>
            </w:pPr>
            <w:r>
              <w:rPr>
                <w:rFonts w:hint="eastAsia" w:ascii="宋体" w:hAnsi="宋体" w:cs="宋体"/>
                <w:sz w:val="24"/>
                <w:szCs w:val="24"/>
              </w:rPr>
              <w:t>正常工作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11</w:t>
            </w:r>
          </w:p>
        </w:tc>
        <w:tc>
          <w:tcPr>
            <w:tcW w:w="3391" w:type="dxa"/>
            <w:vAlign w:val="center"/>
          </w:tcPr>
          <w:p>
            <w:pPr>
              <w:rPr>
                <w:rFonts w:ascii="宋体" w:hAnsi="宋体" w:cs="宋体"/>
                <w:sz w:val="24"/>
                <w:szCs w:val="24"/>
              </w:rPr>
            </w:pPr>
            <w:r>
              <w:rPr>
                <w:rFonts w:hint="eastAsia" w:ascii="宋体" w:hAnsi="宋体" w:cs="宋体"/>
                <w:sz w:val="24"/>
                <w:szCs w:val="24"/>
              </w:rPr>
              <w:t>轿顶</w:t>
            </w:r>
          </w:p>
        </w:tc>
        <w:tc>
          <w:tcPr>
            <w:tcW w:w="5245" w:type="dxa"/>
            <w:vAlign w:val="center"/>
          </w:tcPr>
          <w:p>
            <w:pPr>
              <w:rPr>
                <w:rFonts w:ascii="宋体" w:hAnsi="宋体" w:cs="宋体"/>
                <w:sz w:val="24"/>
                <w:szCs w:val="24"/>
              </w:rPr>
            </w:pPr>
            <w:r>
              <w:rPr>
                <w:rFonts w:hint="eastAsia" w:ascii="宋体" w:hAnsi="宋体" w:cs="宋体"/>
                <w:sz w:val="24"/>
                <w:szCs w:val="24"/>
              </w:rPr>
              <w:t>清洁，防护拦安全可靠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12</w:t>
            </w:r>
          </w:p>
        </w:tc>
        <w:tc>
          <w:tcPr>
            <w:tcW w:w="3391" w:type="dxa"/>
            <w:vAlign w:val="center"/>
          </w:tcPr>
          <w:p>
            <w:pPr>
              <w:rPr>
                <w:rFonts w:ascii="宋体" w:hAnsi="宋体" w:cs="宋体"/>
                <w:sz w:val="24"/>
                <w:szCs w:val="24"/>
              </w:rPr>
            </w:pPr>
            <w:r>
              <w:rPr>
                <w:rFonts w:hint="eastAsia" w:ascii="宋体" w:hAnsi="宋体" w:cs="宋体"/>
                <w:sz w:val="24"/>
                <w:szCs w:val="24"/>
              </w:rPr>
              <w:t>轿顶检修开关、急停开关</w:t>
            </w:r>
          </w:p>
        </w:tc>
        <w:tc>
          <w:tcPr>
            <w:tcW w:w="5245" w:type="dxa"/>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13</w:t>
            </w:r>
          </w:p>
        </w:tc>
        <w:tc>
          <w:tcPr>
            <w:tcW w:w="3391" w:type="dxa"/>
            <w:vAlign w:val="center"/>
          </w:tcPr>
          <w:p>
            <w:pPr>
              <w:rPr>
                <w:rFonts w:ascii="宋体" w:hAnsi="宋体" w:cs="宋体"/>
                <w:sz w:val="24"/>
                <w:szCs w:val="24"/>
              </w:rPr>
            </w:pPr>
            <w:r>
              <w:rPr>
                <w:rFonts w:hint="eastAsia" w:ascii="宋体" w:hAnsi="宋体" w:cs="宋体"/>
                <w:sz w:val="24"/>
                <w:szCs w:val="24"/>
              </w:rPr>
              <w:t>导靴上油杯</w:t>
            </w:r>
          </w:p>
        </w:tc>
        <w:tc>
          <w:tcPr>
            <w:tcW w:w="5245" w:type="dxa"/>
            <w:vAlign w:val="center"/>
          </w:tcPr>
          <w:p>
            <w:pPr>
              <w:rPr>
                <w:rFonts w:ascii="宋体" w:hAnsi="宋体" w:cs="宋体"/>
                <w:sz w:val="24"/>
                <w:szCs w:val="24"/>
              </w:rPr>
            </w:pPr>
            <w:r>
              <w:rPr>
                <w:rFonts w:hint="eastAsia" w:ascii="宋体" w:hAnsi="宋体" w:cs="宋体"/>
                <w:sz w:val="24"/>
                <w:szCs w:val="24"/>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14</w:t>
            </w:r>
          </w:p>
        </w:tc>
        <w:tc>
          <w:tcPr>
            <w:tcW w:w="3391" w:type="dxa"/>
            <w:vAlign w:val="center"/>
          </w:tcPr>
          <w:p>
            <w:pPr>
              <w:rPr>
                <w:rFonts w:ascii="宋体" w:hAnsi="宋体" w:cs="宋体"/>
                <w:sz w:val="24"/>
                <w:szCs w:val="24"/>
              </w:rPr>
            </w:pPr>
            <w:r>
              <w:rPr>
                <w:rFonts w:hint="eastAsia" w:ascii="宋体" w:hAnsi="宋体" w:cs="宋体"/>
                <w:sz w:val="24"/>
                <w:szCs w:val="24"/>
              </w:rPr>
              <w:t>对重块及其压板</w:t>
            </w:r>
          </w:p>
        </w:tc>
        <w:tc>
          <w:tcPr>
            <w:tcW w:w="5245" w:type="dxa"/>
            <w:vAlign w:val="center"/>
          </w:tcPr>
          <w:p>
            <w:pPr>
              <w:rPr>
                <w:rFonts w:ascii="宋体" w:hAnsi="宋体" w:cs="宋体"/>
                <w:sz w:val="24"/>
                <w:szCs w:val="24"/>
              </w:rPr>
            </w:pPr>
            <w:r>
              <w:rPr>
                <w:rFonts w:hint="eastAsia" w:ascii="宋体" w:hAnsi="宋体" w:cs="宋体"/>
                <w:sz w:val="24"/>
                <w:szCs w:val="24"/>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15</w:t>
            </w:r>
          </w:p>
        </w:tc>
        <w:tc>
          <w:tcPr>
            <w:tcW w:w="3391" w:type="dxa"/>
            <w:vAlign w:val="center"/>
          </w:tcPr>
          <w:p>
            <w:pPr>
              <w:rPr>
                <w:rFonts w:ascii="宋体" w:hAnsi="宋体" w:cs="宋体"/>
                <w:sz w:val="24"/>
                <w:szCs w:val="24"/>
              </w:rPr>
            </w:pPr>
            <w:r>
              <w:rPr>
                <w:rFonts w:hint="eastAsia" w:ascii="宋体" w:hAnsi="宋体" w:cs="宋体"/>
                <w:sz w:val="24"/>
                <w:szCs w:val="24"/>
              </w:rPr>
              <w:t>井道照明</w:t>
            </w:r>
          </w:p>
        </w:tc>
        <w:tc>
          <w:tcPr>
            <w:tcW w:w="5245" w:type="dxa"/>
            <w:vAlign w:val="center"/>
          </w:tcPr>
          <w:p>
            <w:pPr>
              <w:rPr>
                <w:rFonts w:ascii="宋体" w:hAnsi="宋体" w:cs="宋体"/>
                <w:sz w:val="24"/>
                <w:szCs w:val="24"/>
              </w:rPr>
            </w:pPr>
            <w:r>
              <w:rPr>
                <w:rFonts w:hint="eastAsia" w:ascii="宋体" w:hAnsi="宋体" w:cs="宋体"/>
                <w:sz w:val="24"/>
                <w:szCs w:val="24"/>
              </w:rPr>
              <w:t>齐全、正常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16</w:t>
            </w:r>
          </w:p>
        </w:tc>
        <w:tc>
          <w:tcPr>
            <w:tcW w:w="3391" w:type="dxa"/>
            <w:vAlign w:val="center"/>
          </w:tcPr>
          <w:p>
            <w:pPr>
              <w:rPr>
                <w:rFonts w:ascii="宋体" w:hAnsi="宋体" w:cs="宋体"/>
                <w:sz w:val="24"/>
                <w:szCs w:val="24"/>
              </w:rPr>
            </w:pPr>
            <w:r>
              <w:rPr>
                <w:rFonts w:hint="eastAsia" w:ascii="宋体" w:hAnsi="宋体" w:cs="宋体"/>
                <w:sz w:val="24"/>
                <w:szCs w:val="24"/>
              </w:rPr>
              <w:t>轿厢照明、风扇、应急照明</w:t>
            </w:r>
          </w:p>
        </w:tc>
        <w:tc>
          <w:tcPr>
            <w:tcW w:w="5245" w:type="dxa"/>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17</w:t>
            </w:r>
          </w:p>
        </w:tc>
        <w:tc>
          <w:tcPr>
            <w:tcW w:w="3391" w:type="dxa"/>
            <w:vAlign w:val="center"/>
          </w:tcPr>
          <w:p>
            <w:pPr>
              <w:rPr>
                <w:rFonts w:ascii="宋体" w:hAnsi="宋体" w:cs="宋体"/>
                <w:sz w:val="24"/>
                <w:szCs w:val="24"/>
              </w:rPr>
            </w:pPr>
            <w:r>
              <w:rPr>
                <w:rFonts w:hint="eastAsia" w:ascii="宋体" w:hAnsi="宋体" w:cs="宋体"/>
                <w:sz w:val="24"/>
                <w:szCs w:val="24"/>
              </w:rPr>
              <w:t>轿厢检修开关、急停开关</w:t>
            </w:r>
          </w:p>
        </w:tc>
        <w:tc>
          <w:tcPr>
            <w:tcW w:w="5245" w:type="dxa"/>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18</w:t>
            </w:r>
          </w:p>
        </w:tc>
        <w:tc>
          <w:tcPr>
            <w:tcW w:w="3391" w:type="dxa"/>
            <w:vAlign w:val="center"/>
          </w:tcPr>
          <w:p>
            <w:pPr>
              <w:rPr>
                <w:rFonts w:ascii="宋体" w:hAnsi="宋体" w:cs="宋体"/>
                <w:sz w:val="24"/>
                <w:szCs w:val="24"/>
              </w:rPr>
            </w:pPr>
            <w:r>
              <w:rPr>
                <w:rFonts w:hint="eastAsia" w:ascii="宋体" w:hAnsi="宋体" w:cs="宋体"/>
                <w:sz w:val="24"/>
                <w:szCs w:val="24"/>
              </w:rPr>
              <w:t>轿内报警装置、对讲系统</w:t>
            </w:r>
          </w:p>
        </w:tc>
        <w:tc>
          <w:tcPr>
            <w:tcW w:w="5245" w:type="dxa"/>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19</w:t>
            </w:r>
          </w:p>
        </w:tc>
        <w:tc>
          <w:tcPr>
            <w:tcW w:w="3391" w:type="dxa"/>
            <w:vAlign w:val="center"/>
          </w:tcPr>
          <w:p>
            <w:pPr>
              <w:rPr>
                <w:rFonts w:ascii="宋体" w:hAnsi="宋体" w:cs="宋体"/>
                <w:sz w:val="24"/>
                <w:szCs w:val="24"/>
              </w:rPr>
            </w:pPr>
            <w:r>
              <w:rPr>
                <w:rFonts w:hint="eastAsia" w:ascii="宋体" w:hAnsi="宋体" w:cs="宋体"/>
                <w:sz w:val="24"/>
                <w:szCs w:val="24"/>
              </w:rPr>
              <w:t>轿内显示、指令按钮、IC卡系统</w:t>
            </w:r>
          </w:p>
        </w:tc>
        <w:tc>
          <w:tcPr>
            <w:tcW w:w="5245" w:type="dxa"/>
            <w:vAlign w:val="center"/>
          </w:tcPr>
          <w:p>
            <w:pPr>
              <w:rPr>
                <w:rFonts w:ascii="宋体" w:hAnsi="宋体" w:cs="宋体"/>
                <w:sz w:val="24"/>
                <w:szCs w:val="24"/>
              </w:rPr>
            </w:pPr>
            <w:r>
              <w:rPr>
                <w:rFonts w:hint="eastAsia" w:ascii="宋体" w:hAnsi="宋体" w:cs="宋体"/>
                <w:sz w:val="24"/>
                <w:szCs w:val="24"/>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20</w:t>
            </w:r>
          </w:p>
        </w:tc>
        <w:tc>
          <w:tcPr>
            <w:tcW w:w="3391" w:type="dxa"/>
            <w:vAlign w:val="center"/>
          </w:tcPr>
          <w:p>
            <w:pPr>
              <w:rPr>
                <w:rFonts w:ascii="宋体" w:hAnsi="宋体" w:cs="宋体"/>
                <w:sz w:val="24"/>
                <w:szCs w:val="24"/>
              </w:rPr>
            </w:pPr>
            <w:r>
              <w:rPr>
                <w:rFonts w:hint="eastAsia" w:ascii="宋体" w:hAnsi="宋体" w:cs="宋体"/>
                <w:sz w:val="24"/>
                <w:szCs w:val="24"/>
              </w:rPr>
              <w:t>轿门安全装置（安全触板，光幕、光电等）</w:t>
            </w:r>
          </w:p>
        </w:tc>
        <w:tc>
          <w:tcPr>
            <w:tcW w:w="5245" w:type="dxa"/>
            <w:vAlign w:val="center"/>
          </w:tcPr>
          <w:p>
            <w:pPr>
              <w:rPr>
                <w:rFonts w:ascii="宋体" w:hAnsi="宋体" w:cs="宋体"/>
                <w:sz w:val="24"/>
                <w:szCs w:val="24"/>
              </w:rPr>
            </w:pPr>
            <w:r>
              <w:rPr>
                <w:rFonts w:hint="eastAsia" w:ascii="宋体" w:hAnsi="宋体" w:cs="宋体"/>
                <w:sz w:val="24"/>
                <w:szCs w:val="24"/>
              </w:rPr>
              <w:t>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21</w:t>
            </w:r>
          </w:p>
        </w:tc>
        <w:tc>
          <w:tcPr>
            <w:tcW w:w="3391" w:type="dxa"/>
            <w:vAlign w:val="center"/>
          </w:tcPr>
          <w:p>
            <w:pPr>
              <w:rPr>
                <w:rFonts w:ascii="宋体" w:hAnsi="宋体" w:cs="宋体"/>
                <w:sz w:val="24"/>
                <w:szCs w:val="24"/>
              </w:rPr>
            </w:pPr>
            <w:r>
              <w:rPr>
                <w:rFonts w:hint="eastAsia" w:ascii="宋体" w:hAnsi="宋体" w:cs="宋体"/>
                <w:sz w:val="24"/>
                <w:szCs w:val="24"/>
              </w:rPr>
              <w:t>轿门门锁电气触点</w:t>
            </w:r>
          </w:p>
        </w:tc>
        <w:tc>
          <w:tcPr>
            <w:tcW w:w="5245" w:type="dxa"/>
            <w:vAlign w:val="center"/>
          </w:tcPr>
          <w:p>
            <w:pPr>
              <w:rPr>
                <w:rFonts w:ascii="宋体" w:hAnsi="宋体" w:cs="宋体"/>
                <w:sz w:val="24"/>
                <w:szCs w:val="24"/>
              </w:rPr>
            </w:pPr>
            <w:r>
              <w:rPr>
                <w:rFonts w:hint="eastAsia" w:ascii="宋体" w:hAnsi="宋体" w:cs="宋体"/>
                <w:sz w:val="24"/>
                <w:szCs w:val="24"/>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22</w:t>
            </w:r>
          </w:p>
        </w:tc>
        <w:tc>
          <w:tcPr>
            <w:tcW w:w="3391" w:type="dxa"/>
            <w:vAlign w:val="center"/>
          </w:tcPr>
          <w:p>
            <w:pPr>
              <w:rPr>
                <w:rFonts w:ascii="宋体" w:hAnsi="宋体" w:cs="宋体"/>
                <w:sz w:val="24"/>
                <w:szCs w:val="24"/>
              </w:rPr>
            </w:pPr>
            <w:r>
              <w:rPr>
                <w:rFonts w:hint="eastAsia" w:ascii="宋体" w:hAnsi="宋体" w:cs="宋体"/>
                <w:sz w:val="24"/>
                <w:szCs w:val="24"/>
              </w:rPr>
              <w:t>轿门运行</w:t>
            </w:r>
          </w:p>
        </w:tc>
        <w:tc>
          <w:tcPr>
            <w:tcW w:w="5245" w:type="dxa"/>
            <w:vAlign w:val="center"/>
          </w:tcPr>
          <w:p>
            <w:pPr>
              <w:rPr>
                <w:rFonts w:ascii="宋体" w:hAnsi="宋体" w:cs="宋体"/>
                <w:sz w:val="24"/>
                <w:szCs w:val="24"/>
              </w:rPr>
            </w:pPr>
            <w:r>
              <w:rPr>
                <w:rFonts w:hint="eastAsia" w:ascii="宋体" w:hAnsi="宋体" w:cs="宋体"/>
                <w:sz w:val="24"/>
                <w:szCs w:val="24"/>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23</w:t>
            </w:r>
          </w:p>
        </w:tc>
        <w:tc>
          <w:tcPr>
            <w:tcW w:w="3391" w:type="dxa"/>
            <w:vAlign w:val="center"/>
          </w:tcPr>
          <w:p>
            <w:pPr>
              <w:rPr>
                <w:rFonts w:ascii="宋体" w:hAnsi="宋体" w:cs="宋体"/>
                <w:sz w:val="24"/>
                <w:szCs w:val="24"/>
              </w:rPr>
            </w:pPr>
            <w:r>
              <w:rPr>
                <w:rFonts w:hint="eastAsia" w:ascii="宋体" w:hAnsi="宋体" w:cs="宋体"/>
                <w:sz w:val="24"/>
                <w:szCs w:val="24"/>
              </w:rPr>
              <w:t>轿厢平层准确度</w:t>
            </w:r>
          </w:p>
        </w:tc>
        <w:tc>
          <w:tcPr>
            <w:tcW w:w="5245" w:type="dxa"/>
            <w:vAlign w:val="center"/>
          </w:tcPr>
          <w:p>
            <w:pPr>
              <w:rPr>
                <w:rFonts w:ascii="宋体" w:hAnsi="宋体" w:cs="宋体"/>
                <w:sz w:val="24"/>
                <w:szCs w:val="24"/>
              </w:rPr>
            </w:pPr>
            <w:r>
              <w:rPr>
                <w:rFonts w:hint="eastAsia" w:ascii="宋体" w:hAnsi="宋体" w:cs="宋体"/>
                <w:sz w:val="24"/>
                <w:szCs w:val="24"/>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vAlign w:val="center"/>
          </w:tcPr>
          <w:p>
            <w:pPr>
              <w:rPr>
                <w:rFonts w:ascii="宋体" w:hAnsi="宋体" w:cs="宋体"/>
                <w:sz w:val="24"/>
                <w:szCs w:val="24"/>
              </w:rPr>
            </w:pPr>
            <w:r>
              <w:rPr>
                <w:rFonts w:hint="eastAsia" w:ascii="宋体" w:hAnsi="宋体" w:cs="宋体"/>
                <w:sz w:val="24"/>
                <w:szCs w:val="24"/>
              </w:rPr>
              <w:t>24</w:t>
            </w:r>
          </w:p>
        </w:tc>
        <w:tc>
          <w:tcPr>
            <w:tcW w:w="3391" w:type="dxa"/>
            <w:vAlign w:val="center"/>
          </w:tcPr>
          <w:p>
            <w:pPr>
              <w:rPr>
                <w:rFonts w:ascii="宋体" w:hAnsi="宋体" w:cs="宋体"/>
                <w:sz w:val="24"/>
                <w:szCs w:val="24"/>
              </w:rPr>
            </w:pPr>
            <w:r>
              <w:rPr>
                <w:rFonts w:hint="eastAsia" w:ascii="宋体" w:hAnsi="宋体" w:cs="宋体"/>
                <w:sz w:val="24"/>
                <w:szCs w:val="24"/>
              </w:rPr>
              <w:t>层站召唤、层楼显示</w:t>
            </w:r>
          </w:p>
        </w:tc>
        <w:tc>
          <w:tcPr>
            <w:tcW w:w="5245" w:type="dxa"/>
            <w:vAlign w:val="center"/>
          </w:tcPr>
          <w:p>
            <w:pPr>
              <w:rPr>
                <w:rFonts w:ascii="宋体" w:hAnsi="宋体" w:cs="宋体"/>
                <w:sz w:val="24"/>
                <w:szCs w:val="24"/>
              </w:rPr>
            </w:pPr>
            <w:r>
              <w:rPr>
                <w:rFonts w:hint="eastAsia" w:ascii="宋体" w:hAnsi="宋体" w:cs="宋体"/>
                <w:sz w:val="24"/>
                <w:szCs w:val="24"/>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vAlign w:val="center"/>
          </w:tcPr>
          <w:p>
            <w:pPr>
              <w:rPr>
                <w:rFonts w:ascii="宋体" w:hAnsi="宋体" w:cs="宋体"/>
                <w:sz w:val="24"/>
                <w:szCs w:val="24"/>
              </w:rPr>
            </w:pPr>
            <w:r>
              <w:rPr>
                <w:rFonts w:hint="eastAsia" w:ascii="宋体" w:hAnsi="宋体" w:cs="宋体"/>
                <w:sz w:val="24"/>
                <w:szCs w:val="24"/>
              </w:rPr>
              <w:t>25</w:t>
            </w:r>
          </w:p>
        </w:tc>
        <w:tc>
          <w:tcPr>
            <w:tcW w:w="3391" w:type="dxa"/>
            <w:vAlign w:val="center"/>
          </w:tcPr>
          <w:p>
            <w:pPr>
              <w:rPr>
                <w:rFonts w:ascii="宋体" w:hAnsi="宋体" w:cs="宋体"/>
                <w:sz w:val="24"/>
                <w:szCs w:val="24"/>
              </w:rPr>
            </w:pPr>
            <w:r>
              <w:rPr>
                <w:rFonts w:hint="eastAsia" w:ascii="宋体" w:hAnsi="宋体" w:cs="宋体"/>
                <w:sz w:val="24"/>
                <w:szCs w:val="24"/>
              </w:rPr>
              <w:t>层门地坎</w:t>
            </w:r>
          </w:p>
        </w:tc>
        <w:tc>
          <w:tcPr>
            <w:tcW w:w="5245" w:type="dxa"/>
            <w:vAlign w:val="center"/>
          </w:tcPr>
          <w:p>
            <w:pPr>
              <w:rPr>
                <w:rFonts w:ascii="宋体" w:hAnsi="宋体" w:cs="宋体"/>
                <w:sz w:val="24"/>
                <w:szCs w:val="24"/>
              </w:rPr>
            </w:pPr>
            <w:r>
              <w:rPr>
                <w:rFonts w:hint="eastAsia" w:ascii="宋体" w:hAnsi="宋体" w:cs="宋体"/>
                <w:sz w:val="24"/>
                <w:szCs w:val="24"/>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vAlign w:val="center"/>
          </w:tcPr>
          <w:p>
            <w:pPr>
              <w:rPr>
                <w:rFonts w:ascii="宋体" w:hAnsi="宋体" w:cs="宋体"/>
                <w:sz w:val="24"/>
                <w:szCs w:val="24"/>
              </w:rPr>
            </w:pPr>
            <w:r>
              <w:rPr>
                <w:rFonts w:hint="eastAsia" w:ascii="宋体" w:hAnsi="宋体" w:cs="宋体"/>
                <w:sz w:val="24"/>
                <w:szCs w:val="24"/>
              </w:rPr>
              <w:t>26</w:t>
            </w:r>
          </w:p>
        </w:tc>
        <w:tc>
          <w:tcPr>
            <w:tcW w:w="3391" w:type="dxa"/>
            <w:vAlign w:val="center"/>
          </w:tcPr>
          <w:p>
            <w:pPr>
              <w:rPr>
                <w:rFonts w:ascii="宋体" w:hAnsi="宋体" w:cs="宋体"/>
                <w:sz w:val="24"/>
                <w:szCs w:val="24"/>
              </w:rPr>
            </w:pPr>
            <w:r>
              <w:rPr>
                <w:rFonts w:hint="eastAsia" w:ascii="宋体" w:hAnsi="宋体" w:cs="宋体"/>
                <w:sz w:val="24"/>
                <w:szCs w:val="24"/>
              </w:rPr>
              <w:t>层门自动关门装置</w:t>
            </w:r>
          </w:p>
        </w:tc>
        <w:tc>
          <w:tcPr>
            <w:tcW w:w="5245" w:type="dxa"/>
            <w:vAlign w:val="center"/>
          </w:tcPr>
          <w:p>
            <w:pPr>
              <w:rPr>
                <w:rFonts w:ascii="宋体" w:hAnsi="宋体" w:cs="宋体"/>
                <w:sz w:val="24"/>
                <w:szCs w:val="24"/>
              </w:rPr>
            </w:pPr>
            <w:r>
              <w:rPr>
                <w:rFonts w:hint="eastAsia" w:ascii="宋体" w:hAnsi="宋体" w:cs="宋体"/>
                <w:sz w:val="24"/>
                <w:szCs w:val="24"/>
              </w:rPr>
              <w:t>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27</w:t>
            </w:r>
          </w:p>
        </w:tc>
        <w:tc>
          <w:tcPr>
            <w:tcW w:w="3391"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层门门锁自动复位</w:t>
            </w:r>
          </w:p>
        </w:tc>
        <w:tc>
          <w:tcPr>
            <w:tcW w:w="5245"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28</w:t>
            </w:r>
          </w:p>
        </w:tc>
        <w:tc>
          <w:tcPr>
            <w:tcW w:w="3391"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层门门锁电气触点</w:t>
            </w:r>
          </w:p>
        </w:tc>
        <w:tc>
          <w:tcPr>
            <w:tcW w:w="5245"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29</w:t>
            </w:r>
          </w:p>
        </w:tc>
        <w:tc>
          <w:tcPr>
            <w:tcW w:w="3391"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层门锁紧元件啮合长度</w:t>
            </w:r>
          </w:p>
        </w:tc>
        <w:tc>
          <w:tcPr>
            <w:tcW w:w="5245"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不小于7mm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30</w:t>
            </w:r>
          </w:p>
        </w:tc>
        <w:tc>
          <w:tcPr>
            <w:tcW w:w="3391"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底坑环境</w:t>
            </w:r>
          </w:p>
        </w:tc>
        <w:tc>
          <w:tcPr>
            <w:tcW w:w="5245"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12" w:space="0"/>
              <w:right w:val="single" w:color="auto" w:sz="6" w:space="0"/>
            </w:tcBorders>
            <w:vAlign w:val="center"/>
          </w:tcPr>
          <w:p>
            <w:pPr>
              <w:rPr>
                <w:rFonts w:ascii="宋体" w:hAnsi="宋体" w:cs="宋体"/>
                <w:sz w:val="24"/>
                <w:szCs w:val="24"/>
              </w:rPr>
            </w:pPr>
            <w:r>
              <w:rPr>
                <w:rFonts w:hint="eastAsia" w:ascii="宋体" w:hAnsi="宋体" w:cs="宋体"/>
                <w:sz w:val="24"/>
                <w:szCs w:val="24"/>
              </w:rPr>
              <w:t>31</w:t>
            </w:r>
          </w:p>
        </w:tc>
        <w:tc>
          <w:tcPr>
            <w:tcW w:w="3391" w:type="dxa"/>
            <w:tcBorders>
              <w:top w:val="single" w:color="auto" w:sz="6" w:space="0"/>
              <w:left w:val="single" w:color="auto" w:sz="6" w:space="0"/>
              <w:bottom w:val="single" w:color="auto" w:sz="12" w:space="0"/>
              <w:right w:val="single" w:color="auto" w:sz="6" w:space="0"/>
            </w:tcBorders>
            <w:vAlign w:val="center"/>
          </w:tcPr>
          <w:p>
            <w:pPr>
              <w:rPr>
                <w:rFonts w:ascii="宋体" w:hAnsi="宋体" w:cs="宋体"/>
                <w:sz w:val="24"/>
                <w:szCs w:val="24"/>
              </w:rPr>
            </w:pPr>
            <w:r>
              <w:rPr>
                <w:rFonts w:hint="eastAsia" w:ascii="宋体" w:hAnsi="宋体" w:cs="宋体"/>
                <w:sz w:val="24"/>
                <w:szCs w:val="24"/>
              </w:rPr>
              <w:t>底坑急停开关</w:t>
            </w:r>
          </w:p>
        </w:tc>
        <w:tc>
          <w:tcPr>
            <w:tcW w:w="5245" w:type="dxa"/>
            <w:tcBorders>
              <w:top w:val="single" w:color="auto" w:sz="6" w:space="0"/>
              <w:left w:val="single" w:color="auto" w:sz="6" w:space="0"/>
              <w:bottom w:val="single" w:color="auto" w:sz="12" w:space="0"/>
              <w:right w:val="single" w:color="auto" w:sz="12" w:space="0"/>
            </w:tcBorders>
            <w:vAlign w:val="center"/>
          </w:tcPr>
          <w:p>
            <w:pPr>
              <w:rPr>
                <w:rFonts w:ascii="宋体" w:hAnsi="宋体" w:cs="宋体"/>
                <w:sz w:val="24"/>
                <w:szCs w:val="24"/>
              </w:rPr>
            </w:pPr>
            <w:r>
              <w:rPr>
                <w:rFonts w:hint="eastAsia" w:ascii="宋体" w:hAnsi="宋体" w:cs="宋体"/>
                <w:sz w:val="24"/>
                <w:szCs w:val="24"/>
              </w:rPr>
              <w:t>工作正常</w:t>
            </w:r>
          </w:p>
        </w:tc>
      </w:tr>
    </w:tbl>
    <w:p>
      <w:pPr>
        <w:rPr>
          <w:rFonts w:ascii="宋体" w:hAnsi="宋体" w:cs="宋体"/>
          <w:sz w:val="24"/>
          <w:szCs w:val="24"/>
        </w:rPr>
      </w:pPr>
      <w:r>
        <w:rPr>
          <w:rFonts w:hint="eastAsia" w:ascii="宋体" w:hAnsi="宋体" w:cs="宋体"/>
          <w:sz w:val="24"/>
          <w:szCs w:val="24"/>
        </w:rPr>
        <w:t>表A-2  季度维保项目（内容）和要求 &lt;含半月维保项目&gt;</w:t>
      </w:r>
    </w:p>
    <w:tbl>
      <w:tblPr>
        <w:tblStyle w:val="1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3420"/>
        <w:gridCol w:w="52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序号</w:t>
            </w:r>
          </w:p>
        </w:tc>
        <w:tc>
          <w:tcPr>
            <w:tcW w:w="3420" w:type="dxa"/>
            <w:vAlign w:val="center"/>
          </w:tcPr>
          <w:p>
            <w:pPr>
              <w:rPr>
                <w:rFonts w:ascii="宋体" w:hAnsi="宋体" w:cs="宋体"/>
                <w:sz w:val="24"/>
                <w:szCs w:val="24"/>
              </w:rPr>
            </w:pPr>
            <w:r>
              <w:rPr>
                <w:rFonts w:hint="eastAsia" w:ascii="宋体" w:hAnsi="宋体" w:cs="宋体"/>
                <w:sz w:val="24"/>
                <w:szCs w:val="24"/>
              </w:rPr>
              <w:t>维保项目（内容）</w:t>
            </w:r>
          </w:p>
        </w:tc>
        <w:tc>
          <w:tcPr>
            <w:tcW w:w="5220" w:type="dxa"/>
            <w:vAlign w:val="center"/>
          </w:tcPr>
          <w:p>
            <w:pPr>
              <w:rPr>
                <w:rFonts w:ascii="宋体" w:hAnsi="宋体" w:cs="宋体"/>
                <w:sz w:val="24"/>
                <w:szCs w:val="24"/>
              </w:rPr>
            </w:pPr>
            <w:r>
              <w:rPr>
                <w:rFonts w:hint="eastAsia" w:ascii="宋体" w:hAnsi="宋体" w:cs="宋体"/>
                <w:sz w:val="24"/>
                <w:szCs w:val="24"/>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1</w:t>
            </w:r>
          </w:p>
        </w:tc>
        <w:tc>
          <w:tcPr>
            <w:tcW w:w="3420" w:type="dxa"/>
            <w:vAlign w:val="center"/>
          </w:tcPr>
          <w:p>
            <w:pPr>
              <w:rPr>
                <w:rFonts w:ascii="宋体" w:hAnsi="宋体" w:cs="宋体"/>
                <w:sz w:val="24"/>
                <w:szCs w:val="24"/>
              </w:rPr>
            </w:pPr>
            <w:r>
              <w:rPr>
                <w:rFonts w:hint="eastAsia" w:ascii="宋体" w:hAnsi="宋体" w:cs="宋体"/>
                <w:sz w:val="24"/>
                <w:szCs w:val="24"/>
              </w:rPr>
              <w:t>减速机润滑油</w:t>
            </w:r>
          </w:p>
        </w:tc>
        <w:tc>
          <w:tcPr>
            <w:tcW w:w="5220" w:type="dxa"/>
            <w:vAlign w:val="center"/>
          </w:tcPr>
          <w:p>
            <w:pPr>
              <w:rPr>
                <w:rFonts w:ascii="宋体" w:hAnsi="宋体" w:cs="宋体"/>
                <w:sz w:val="24"/>
                <w:szCs w:val="24"/>
              </w:rPr>
            </w:pPr>
            <w:r>
              <w:rPr>
                <w:rFonts w:hint="eastAsia" w:ascii="宋体" w:hAnsi="宋体" w:cs="宋体"/>
                <w:sz w:val="24"/>
                <w:szCs w:val="24"/>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2</w:t>
            </w:r>
          </w:p>
        </w:tc>
        <w:tc>
          <w:tcPr>
            <w:tcW w:w="3420" w:type="dxa"/>
            <w:vAlign w:val="center"/>
          </w:tcPr>
          <w:p>
            <w:pPr>
              <w:rPr>
                <w:rFonts w:ascii="宋体" w:hAnsi="宋体" w:cs="宋体"/>
                <w:sz w:val="24"/>
                <w:szCs w:val="24"/>
              </w:rPr>
            </w:pPr>
            <w:r>
              <w:rPr>
                <w:rFonts w:hint="eastAsia" w:ascii="宋体" w:hAnsi="宋体" w:cs="宋体"/>
                <w:sz w:val="24"/>
                <w:szCs w:val="24"/>
              </w:rPr>
              <w:t>制动衬</w:t>
            </w:r>
          </w:p>
        </w:tc>
        <w:tc>
          <w:tcPr>
            <w:tcW w:w="5220" w:type="dxa"/>
            <w:vAlign w:val="center"/>
          </w:tcPr>
          <w:p>
            <w:pPr>
              <w:rPr>
                <w:rFonts w:ascii="宋体" w:hAnsi="宋体" w:cs="宋体"/>
                <w:sz w:val="24"/>
                <w:szCs w:val="24"/>
              </w:rPr>
            </w:pPr>
            <w:r>
              <w:rPr>
                <w:rFonts w:hint="eastAsia" w:ascii="宋体" w:hAnsi="宋体" w:cs="宋体"/>
                <w:sz w:val="24"/>
                <w:szCs w:val="24"/>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3</w:t>
            </w:r>
          </w:p>
        </w:tc>
        <w:tc>
          <w:tcPr>
            <w:tcW w:w="3420" w:type="dxa"/>
            <w:vAlign w:val="center"/>
          </w:tcPr>
          <w:p>
            <w:pPr>
              <w:rPr>
                <w:rFonts w:ascii="宋体" w:hAnsi="宋体" w:cs="宋体"/>
                <w:sz w:val="24"/>
                <w:szCs w:val="24"/>
              </w:rPr>
            </w:pPr>
            <w:r>
              <w:rPr>
                <w:rFonts w:hint="eastAsia" w:ascii="宋体" w:hAnsi="宋体" w:cs="宋体"/>
                <w:sz w:val="24"/>
                <w:szCs w:val="24"/>
              </w:rPr>
              <w:t>位置脉冲发生器</w:t>
            </w:r>
          </w:p>
        </w:tc>
        <w:tc>
          <w:tcPr>
            <w:tcW w:w="5220" w:type="dxa"/>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4</w:t>
            </w:r>
          </w:p>
        </w:tc>
        <w:tc>
          <w:tcPr>
            <w:tcW w:w="3420" w:type="dxa"/>
            <w:vAlign w:val="center"/>
          </w:tcPr>
          <w:p>
            <w:pPr>
              <w:rPr>
                <w:rFonts w:ascii="宋体" w:hAnsi="宋体" w:cs="宋体"/>
                <w:sz w:val="24"/>
                <w:szCs w:val="24"/>
              </w:rPr>
            </w:pPr>
            <w:r>
              <w:rPr>
                <w:rFonts w:hint="eastAsia" w:ascii="宋体" w:hAnsi="宋体" w:cs="宋体"/>
                <w:sz w:val="24"/>
                <w:szCs w:val="24"/>
              </w:rPr>
              <w:t>选层器动静触点</w:t>
            </w:r>
          </w:p>
        </w:tc>
        <w:tc>
          <w:tcPr>
            <w:tcW w:w="5220" w:type="dxa"/>
            <w:vAlign w:val="center"/>
          </w:tcPr>
          <w:p>
            <w:pPr>
              <w:rPr>
                <w:rFonts w:ascii="宋体" w:hAnsi="宋体" w:cs="宋体"/>
                <w:sz w:val="24"/>
                <w:szCs w:val="24"/>
              </w:rPr>
            </w:pPr>
            <w:r>
              <w:rPr>
                <w:rFonts w:hint="eastAsia" w:ascii="宋体" w:hAnsi="宋体" w:cs="宋体"/>
                <w:sz w:val="24"/>
                <w:szCs w:val="24"/>
              </w:rPr>
              <w:t>清洁，无烧蚀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5</w:t>
            </w:r>
          </w:p>
        </w:tc>
        <w:tc>
          <w:tcPr>
            <w:tcW w:w="3420" w:type="dxa"/>
            <w:vAlign w:val="center"/>
          </w:tcPr>
          <w:p>
            <w:pPr>
              <w:rPr>
                <w:rFonts w:ascii="宋体" w:hAnsi="宋体" w:cs="宋体"/>
                <w:sz w:val="24"/>
                <w:szCs w:val="24"/>
              </w:rPr>
            </w:pPr>
            <w:r>
              <w:rPr>
                <w:rFonts w:hint="eastAsia" w:ascii="宋体" w:hAnsi="宋体" w:cs="宋体"/>
                <w:sz w:val="24"/>
                <w:szCs w:val="24"/>
              </w:rPr>
              <w:t>曳引轮槽、曳引钢丝绳</w:t>
            </w:r>
          </w:p>
        </w:tc>
        <w:tc>
          <w:tcPr>
            <w:tcW w:w="5220" w:type="dxa"/>
            <w:vAlign w:val="center"/>
          </w:tcPr>
          <w:p>
            <w:pPr>
              <w:rPr>
                <w:rFonts w:ascii="宋体" w:hAnsi="宋体" w:cs="宋体"/>
                <w:sz w:val="24"/>
                <w:szCs w:val="24"/>
              </w:rPr>
            </w:pPr>
            <w:r>
              <w:rPr>
                <w:rFonts w:hint="eastAsia" w:ascii="宋体" w:hAnsi="宋体" w:cs="宋体"/>
                <w:sz w:val="24"/>
                <w:szCs w:val="24"/>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6</w:t>
            </w:r>
          </w:p>
        </w:tc>
        <w:tc>
          <w:tcPr>
            <w:tcW w:w="3420" w:type="dxa"/>
            <w:vAlign w:val="center"/>
          </w:tcPr>
          <w:p>
            <w:pPr>
              <w:rPr>
                <w:rFonts w:ascii="宋体" w:hAnsi="宋体" w:cs="宋体"/>
                <w:sz w:val="24"/>
                <w:szCs w:val="24"/>
              </w:rPr>
            </w:pPr>
            <w:r>
              <w:rPr>
                <w:rFonts w:hint="eastAsia" w:ascii="宋体" w:hAnsi="宋体" w:cs="宋体"/>
                <w:sz w:val="24"/>
                <w:szCs w:val="24"/>
              </w:rPr>
              <w:t>限速器轮槽、限速器钢丝绳</w:t>
            </w:r>
          </w:p>
        </w:tc>
        <w:tc>
          <w:tcPr>
            <w:tcW w:w="5220" w:type="dxa"/>
            <w:vAlign w:val="center"/>
          </w:tcPr>
          <w:p>
            <w:pPr>
              <w:rPr>
                <w:rFonts w:ascii="宋体" w:hAnsi="宋体" w:cs="宋体"/>
                <w:sz w:val="24"/>
                <w:szCs w:val="24"/>
              </w:rPr>
            </w:pPr>
            <w:r>
              <w:rPr>
                <w:rFonts w:hint="eastAsia" w:ascii="宋体" w:hAnsi="宋体" w:cs="宋体"/>
                <w:sz w:val="24"/>
                <w:szCs w:val="24"/>
              </w:rPr>
              <w:t>清洁，无严重油腻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7</w:t>
            </w:r>
          </w:p>
        </w:tc>
        <w:tc>
          <w:tcPr>
            <w:tcW w:w="3420" w:type="dxa"/>
            <w:vAlign w:val="center"/>
          </w:tcPr>
          <w:p>
            <w:pPr>
              <w:rPr>
                <w:rFonts w:ascii="宋体" w:hAnsi="宋体" w:cs="宋体"/>
                <w:sz w:val="24"/>
                <w:szCs w:val="24"/>
              </w:rPr>
            </w:pPr>
            <w:r>
              <w:rPr>
                <w:rFonts w:hint="eastAsia" w:ascii="宋体" w:hAnsi="宋体" w:cs="宋体"/>
                <w:sz w:val="24"/>
                <w:szCs w:val="24"/>
              </w:rPr>
              <w:t>靴衬、滚轮</w:t>
            </w:r>
          </w:p>
        </w:tc>
        <w:tc>
          <w:tcPr>
            <w:tcW w:w="5220" w:type="dxa"/>
            <w:vAlign w:val="center"/>
          </w:tcPr>
          <w:p>
            <w:pPr>
              <w:rPr>
                <w:rFonts w:ascii="宋体" w:hAnsi="宋体" w:cs="宋体"/>
                <w:sz w:val="24"/>
                <w:szCs w:val="24"/>
              </w:rPr>
            </w:pPr>
            <w:r>
              <w:rPr>
                <w:rFonts w:hint="eastAsia" w:ascii="宋体" w:hAnsi="宋体" w:cs="宋体"/>
                <w:sz w:val="24"/>
                <w:szCs w:val="24"/>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8</w:t>
            </w:r>
          </w:p>
        </w:tc>
        <w:tc>
          <w:tcPr>
            <w:tcW w:w="3420" w:type="dxa"/>
            <w:vAlign w:val="center"/>
          </w:tcPr>
          <w:p>
            <w:pPr>
              <w:rPr>
                <w:rFonts w:ascii="宋体" w:hAnsi="宋体" w:cs="宋体"/>
                <w:sz w:val="24"/>
                <w:szCs w:val="24"/>
              </w:rPr>
            </w:pPr>
            <w:r>
              <w:rPr>
                <w:rFonts w:hint="eastAsia" w:ascii="宋体" w:hAnsi="宋体" w:cs="宋体"/>
                <w:sz w:val="24"/>
                <w:szCs w:val="24"/>
              </w:rPr>
              <w:t>验证轿门关闭的电气安全装置</w:t>
            </w:r>
          </w:p>
        </w:tc>
        <w:tc>
          <w:tcPr>
            <w:tcW w:w="5220" w:type="dxa"/>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9</w:t>
            </w:r>
          </w:p>
        </w:tc>
        <w:tc>
          <w:tcPr>
            <w:tcW w:w="3420" w:type="dxa"/>
            <w:vAlign w:val="center"/>
          </w:tcPr>
          <w:p>
            <w:pPr>
              <w:rPr>
                <w:rFonts w:ascii="宋体" w:hAnsi="宋体" w:cs="宋体"/>
                <w:sz w:val="24"/>
                <w:szCs w:val="24"/>
              </w:rPr>
            </w:pPr>
            <w:r>
              <w:rPr>
                <w:rFonts w:hint="eastAsia" w:ascii="宋体" w:hAnsi="宋体" w:cs="宋体"/>
                <w:sz w:val="24"/>
                <w:szCs w:val="24"/>
              </w:rPr>
              <w:t>层门、轿门系统中传动钢丝绳、链条、胶带</w:t>
            </w:r>
          </w:p>
        </w:tc>
        <w:tc>
          <w:tcPr>
            <w:tcW w:w="5220" w:type="dxa"/>
            <w:vAlign w:val="center"/>
          </w:tcPr>
          <w:p>
            <w:pPr>
              <w:rPr>
                <w:rFonts w:ascii="宋体" w:hAnsi="宋体" w:cs="宋体"/>
                <w:sz w:val="24"/>
                <w:szCs w:val="24"/>
              </w:rPr>
            </w:pPr>
            <w:r>
              <w:rPr>
                <w:rFonts w:hint="eastAsia" w:ascii="宋体" w:hAnsi="宋体" w:cs="宋体"/>
                <w:sz w:val="24"/>
                <w:szCs w:val="24"/>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10</w:t>
            </w:r>
          </w:p>
        </w:tc>
        <w:tc>
          <w:tcPr>
            <w:tcW w:w="3420" w:type="dxa"/>
            <w:vAlign w:val="center"/>
          </w:tcPr>
          <w:p>
            <w:pPr>
              <w:rPr>
                <w:rFonts w:ascii="宋体" w:hAnsi="宋体" w:cs="宋体"/>
                <w:sz w:val="24"/>
                <w:szCs w:val="24"/>
              </w:rPr>
            </w:pPr>
            <w:r>
              <w:rPr>
                <w:rFonts w:hint="eastAsia" w:ascii="宋体" w:hAnsi="宋体" w:cs="宋体"/>
                <w:sz w:val="24"/>
                <w:szCs w:val="24"/>
              </w:rPr>
              <w:t>层门门导靴</w:t>
            </w:r>
          </w:p>
        </w:tc>
        <w:tc>
          <w:tcPr>
            <w:tcW w:w="5220" w:type="dxa"/>
            <w:vAlign w:val="center"/>
          </w:tcPr>
          <w:p>
            <w:pPr>
              <w:rPr>
                <w:rFonts w:ascii="宋体" w:hAnsi="宋体" w:cs="宋体"/>
                <w:sz w:val="24"/>
                <w:szCs w:val="24"/>
              </w:rPr>
            </w:pPr>
            <w:r>
              <w:rPr>
                <w:rFonts w:hint="eastAsia" w:ascii="宋体" w:hAnsi="宋体" w:cs="宋体"/>
                <w:sz w:val="24"/>
                <w:szCs w:val="24"/>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11</w:t>
            </w:r>
          </w:p>
        </w:tc>
        <w:tc>
          <w:tcPr>
            <w:tcW w:w="3420" w:type="dxa"/>
            <w:vAlign w:val="center"/>
          </w:tcPr>
          <w:p>
            <w:pPr>
              <w:rPr>
                <w:rFonts w:ascii="宋体" w:hAnsi="宋体" w:cs="宋体"/>
                <w:sz w:val="24"/>
                <w:szCs w:val="24"/>
              </w:rPr>
            </w:pPr>
            <w:r>
              <w:rPr>
                <w:rFonts w:hint="eastAsia" w:ascii="宋体" w:hAnsi="宋体" w:cs="宋体"/>
                <w:sz w:val="24"/>
                <w:szCs w:val="24"/>
              </w:rPr>
              <w:t>消防开关</w:t>
            </w:r>
          </w:p>
        </w:tc>
        <w:tc>
          <w:tcPr>
            <w:tcW w:w="5220" w:type="dxa"/>
            <w:vAlign w:val="center"/>
          </w:tcPr>
          <w:p>
            <w:pPr>
              <w:rPr>
                <w:rFonts w:ascii="宋体" w:hAnsi="宋体" w:cs="宋体"/>
                <w:sz w:val="24"/>
                <w:szCs w:val="24"/>
              </w:rPr>
            </w:pPr>
            <w:r>
              <w:rPr>
                <w:rFonts w:hint="eastAsia" w:ascii="宋体" w:hAnsi="宋体" w:cs="宋体"/>
                <w:sz w:val="24"/>
                <w:szCs w:val="24"/>
              </w:rPr>
              <w:t>工作正常，功能有效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12</w:t>
            </w:r>
          </w:p>
        </w:tc>
        <w:tc>
          <w:tcPr>
            <w:tcW w:w="3420" w:type="dxa"/>
            <w:vAlign w:val="center"/>
          </w:tcPr>
          <w:p>
            <w:pPr>
              <w:rPr>
                <w:rFonts w:ascii="宋体" w:hAnsi="宋体" w:cs="宋体"/>
                <w:sz w:val="24"/>
                <w:szCs w:val="24"/>
              </w:rPr>
            </w:pPr>
            <w:r>
              <w:rPr>
                <w:rFonts w:hint="eastAsia" w:ascii="宋体" w:hAnsi="宋体" w:cs="宋体"/>
                <w:sz w:val="24"/>
                <w:szCs w:val="24"/>
              </w:rPr>
              <w:t>耗能缓冲器</w:t>
            </w:r>
          </w:p>
        </w:tc>
        <w:tc>
          <w:tcPr>
            <w:tcW w:w="5220" w:type="dxa"/>
            <w:vAlign w:val="center"/>
          </w:tcPr>
          <w:p>
            <w:pPr>
              <w:rPr>
                <w:rFonts w:ascii="宋体" w:hAnsi="宋体" w:cs="宋体"/>
                <w:sz w:val="24"/>
                <w:szCs w:val="24"/>
              </w:rPr>
            </w:pPr>
            <w:r>
              <w:rPr>
                <w:rFonts w:hint="eastAsia" w:ascii="宋体" w:hAnsi="宋体" w:cs="宋体"/>
                <w:sz w:val="24"/>
                <w:szCs w:val="24"/>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13</w:t>
            </w:r>
          </w:p>
        </w:tc>
        <w:tc>
          <w:tcPr>
            <w:tcW w:w="3420" w:type="dxa"/>
            <w:vAlign w:val="center"/>
          </w:tcPr>
          <w:p>
            <w:pPr>
              <w:rPr>
                <w:rFonts w:ascii="宋体" w:hAnsi="宋体" w:cs="宋体"/>
                <w:sz w:val="24"/>
                <w:szCs w:val="24"/>
              </w:rPr>
            </w:pPr>
            <w:r>
              <w:rPr>
                <w:rFonts w:hint="eastAsia" w:ascii="宋体" w:hAnsi="宋体" w:cs="宋体"/>
                <w:sz w:val="24"/>
                <w:szCs w:val="24"/>
              </w:rPr>
              <w:t>限速器张紧轮装置和电气安全装置</w:t>
            </w:r>
          </w:p>
        </w:tc>
        <w:tc>
          <w:tcPr>
            <w:tcW w:w="5220" w:type="dxa"/>
            <w:vAlign w:val="center"/>
          </w:tcPr>
          <w:p>
            <w:pPr>
              <w:rPr>
                <w:rFonts w:ascii="宋体" w:hAnsi="宋体" w:cs="宋体"/>
                <w:sz w:val="24"/>
                <w:szCs w:val="24"/>
              </w:rPr>
            </w:pPr>
            <w:r>
              <w:rPr>
                <w:rFonts w:hint="eastAsia" w:ascii="宋体" w:hAnsi="宋体" w:cs="宋体"/>
                <w:sz w:val="24"/>
                <w:szCs w:val="24"/>
              </w:rPr>
              <w:t>工作正常</w:t>
            </w:r>
          </w:p>
        </w:tc>
      </w:tr>
    </w:tbl>
    <w:p>
      <w:pPr>
        <w:rPr>
          <w:rFonts w:ascii="宋体" w:hAnsi="宋体" w:cs="宋体"/>
          <w:sz w:val="24"/>
          <w:szCs w:val="24"/>
        </w:rPr>
      </w:pPr>
      <w:r>
        <w:rPr>
          <w:rFonts w:hint="eastAsia" w:ascii="宋体" w:hAnsi="宋体" w:cs="宋体"/>
          <w:sz w:val="24"/>
          <w:szCs w:val="24"/>
        </w:rPr>
        <w:t>表A-3  半年维保项目（内容）和要求 &lt;含半月及季度维保项目&gt;</w:t>
      </w:r>
    </w:p>
    <w:tbl>
      <w:tblPr>
        <w:tblStyle w:val="14"/>
        <w:tblW w:w="0" w:type="auto"/>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420"/>
        <w:gridCol w:w="52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序号</w:t>
            </w:r>
          </w:p>
        </w:tc>
        <w:tc>
          <w:tcPr>
            <w:tcW w:w="3420" w:type="dxa"/>
            <w:vAlign w:val="center"/>
          </w:tcPr>
          <w:p>
            <w:pPr>
              <w:rPr>
                <w:rFonts w:ascii="宋体" w:hAnsi="宋体" w:cs="宋体"/>
                <w:sz w:val="24"/>
                <w:szCs w:val="24"/>
              </w:rPr>
            </w:pPr>
            <w:r>
              <w:rPr>
                <w:rFonts w:hint="eastAsia" w:ascii="宋体" w:hAnsi="宋体" w:cs="宋体"/>
                <w:sz w:val="24"/>
                <w:szCs w:val="24"/>
              </w:rPr>
              <w:t>维保项目（内容）</w:t>
            </w:r>
          </w:p>
        </w:tc>
        <w:tc>
          <w:tcPr>
            <w:tcW w:w="5220" w:type="dxa"/>
            <w:vAlign w:val="center"/>
          </w:tcPr>
          <w:p>
            <w:pPr>
              <w:rPr>
                <w:rFonts w:ascii="宋体" w:hAnsi="宋体" w:cs="宋体"/>
                <w:sz w:val="24"/>
                <w:szCs w:val="24"/>
              </w:rPr>
            </w:pPr>
            <w:r>
              <w:rPr>
                <w:rFonts w:hint="eastAsia" w:ascii="宋体" w:hAnsi="宋体" w:cs="宋体"/>
                <w:sz w:val="24"/>
                <w:szCs w:val="24"/>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w:t>
            </w:r>
          </w:p>
        </w:tc>
        <w:tc>
          <w:tcPr>
            <w:tcW w:w="3420" w:type="dxa"/>
            <w:vAlign w:val="center"/>
          </w:tcPr>
          <w:p>
            <w:pPr>
              <w:rPr>
                <w:rFonts w:ascii="宋体" w:hAnsi="宋体" w:cs="宋体"/>
                <w:sz w:val="24"/>
                <w:szCs w:val="24"/>
              </w:rPr>
            </w:pPr>
            <w:r>
              <w:rPr>
                <w:rFonts w:hint="eastAsia" w:ascii="宋体" w:hAnsi="宋体" w:cs="宋体"/>
                <w:sz w:val="24"/>
                <w:szCs w:val="24"/>
              </w:rPr>
              <w:t>电动机与减速机联轴器螺栓</w:t>
            </w:r>
          </w:p>
        </w:tc>
        <w:tc>
          <w:tcPr>
            <w:tcW w:w="5220" w:type="dxa"/>
            <w:vAlign w:val="center"/>
          </w:tcPr>
          <w:p>
            <w:pPr>
              <w:rPr>
                <w:rFonts w:ascii="宋体" w:hAnsi="宋体" w:cs="宋体"/>
                <w:sz w:val="24"/>
                <w:szCs w:val="24"/>
              </w:rPr>
            </w:pPr>
            <w:r>
              <w:rPr>
                <w:rFonts w:hint="eastAsia" w:ascii="宋体" w:hAnsi="宋体" w:cs="宋体"/>
                <w:sz w:val="24"/>
                <w:szCs w:val="24"/>
              </w:rPr>
              <w:t>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2</w:t>
            </w:r>
          </w:p>
        </w:tc>
        <w:tc>
          <w:tcPr>
            <w:tcW w:w="3420" w:type="dxa"/>
            <w:vAlign w:val="center"/>
          </w:tcPr>
          <w:p>
            <w:pPr>
              <w:rPr>
                <w:rFonts w:ascii="宋体" w:hAnsi="宋体" w:cs="宋体"/>
                <w:sz w:val="24"/>
                <w:szCs w:val="24"/>
              </w:rPr>
            </w:pPr>
            <w:r>
              <w:rPr>
                <w:rFonts w:hint="eastAsia" w:ascii="宋体" w:hAnsi="宋体" w:cs="宋体"/>
                <w:sz w:val="24"/>
                <w:szCs w:val="24"/>
              </w:rPr>
              <w:t>曳引轮、导向轮轴承部</w:t>
            </w:r>
          </w:p>
        </w:tc>
        <w:tc>
          <w:tcPr>
            <w:tcW w:w="5220" w:type="dxa"/>
            <w:vAlign w:val="center"/>
          </w:tcPr>
          <w:p>
            <w:pPr>
              <w:rPr>
                <w:rFonts w:ascii="宋体" w:hAnsi="宋体" w:cs="宋体"/>
                <w:sz w:val="24"/>
                <w:szCs w:val="24"/>
              </w:rPr>
            </w:pPr>
            <w:r>
              <w:rPr>
                <w:rFonts w:hint="eastAsia" w:ascii="宋体" w:hAnsi="宋体" w:cs="宋体"/>
                <w:sz w:val="24"/>
                <w:szCs w:val="24"/>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3</w:t>
            </w:r>
          </w:p>
        </w:tc>
        <w:tc>
          <w:tcPr>
            <w:tcW w:w="3420" w:type="dxa"/>
            <w:vAlign w:val="center"/>
          </w:tcPr>
          <w:p>
            <w:pPr>
              <w:rPr>
                <w:rFonts w:ascii="宋体" w:hAnsi="宋体" w:cs="宋体"/>
                <w:sz w:val="24"/>
                <w:szCs w:val="24"/>
              </w:rPr>
            </w:pPr>
            <w:r>
              <w:rPr>
                <w:rFonts w:hint="eastAsia" w:ascii="宋体" w:hAnsi="宋体" w:cs="宋体"/>
                <w:sz w:val="24"/>
                <w:szCs w:val="24"/>
              </w:rPr>
              <w:t>曳引轮槽</w:t>
            </w:r>
          </w:p>
        </w:tc>
        <w:tc>
          <w:tcPr>
            <w:tcW w:w="5220" w:type="dxa"/>
            <w:vAlign w:val="center"/>
          </w:tcPr>
          <w:p>
            <w:pPr>
              <w:rPr>
                <w:rFonts w:ascii="宋体" w:hAnsi="宋体" w:cs="宋体"/>
                <w:sz w:val="24"/>
                <w:szCs w:val="24"/>
              </w:rPr>
            </w:pPr>
            <w:r>
              <w:rPr>
                <w:rFonts w:hint="eastAsia" w:ascii="宋体" w:hAnsi="宋体" w:cs="宋体"/>
                <w:sz w:val="24"/>
                <w:szCs w:val="24"/>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4</w:t>
            </w:r>
          </w:p>
        </w:tc>
        <w:tc>
          <w:tcPr>
            <w:tcW w:w="3420" w:type="dxa"/>
            <w:vAlign w:val="center"/>
          </w:tcPr>
          <w:p>
            <w:pPr>
              <w:rPr>
                <w:rFonts w:ascii="宋体" w:hAnsi="宋体" w:cs="宋体"/>
                <w:sz w:val="24"/>
                <w:szCs w:val="24"/>
              </w:rPr>
            </w:pPr>
            <w:r>
              <w:rPr>
                <w:rFonts w:hint="eastAsia" w:ascii="宋体" w:hAnsi="宋体" w:cs="宋体"/>
                <w:sz w:val="24"/>
                <w:szCs w:val="24"/>
              </w:rPr>
              <w:t>制动器上检测开关</w:t>
            </w:r>
          </w:p>
        </w:tc>
        <w:tc>
          <w:tcPr>
            <w:tcW w:w="5220" w:type="dxa"/>
            <w:vAlign w:val="center"/>
          </w:tcPr>
          <w:p>
            <w:pPr>
              <w:rPr>
                <w:rFonts w:ascii="宋体" w:hAnsi="宋体" w:cs="宋体"/>
                <w:sz w:val="24"/>
                <w:szCs w:val="24"/>
              </w:rPr>
            </w:pPr>
            <w:r>
              <w:rPr>
                <w:rFonts w:hint="eastAsia" w:ascii="宋体" w:hAnsi="宋体" w:cs="宋体"/>
                <w:sz w:val="24"/>
                <w:szCs w:val="24"/>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5</w:t>
            </w:r>
          </w:p>
        </w:tc>
        <w:tc>
          <w:tcPr>
            <w:tcW w:w="3420" w:type="dxa"/>
            <w:vAlign w:val="center"/>
          </w:tcPr>
          <w:p>
            <w:pPr>
              <w:rPr>
                <w:rFonts w:ascii="宋体" w:hAnsi="宋体" w:cs="宋体"/>
                <w:sz w:val="24"/>
                <w:szCs w:val="24"/>
              </w:rPr>
            </w:pPr>
            <w:r>
              <w:rPr>
                <w:rFonts w:hint="eastAsia" w:ascii="宋体" w:hAnsi="宋体" w:cs="宋体"/>
                <w:sz w:val="24"/>
                <w:szCs w:val="24"/>
              </w:rPr>
              <w:t>控制柜内各接线端子</w:t>
            </w:r>
          </w:p>
        </w:tc>
        <w:tc>
          <w:tcPr>
            <w:tcW w:w="5220" w:type="dxa"/>
            <w:vAlign w:val="center"/>
          </w:tcPr>
          <w:p>
            <w:pPr>
              <w:rPr>
                <w:rFonts w:ascii="宋体" w:hAnsi="宋体" w:cs="宋体"/>
                <w:sz w:val="24"/>
                <w:szCs w:val="24"/>
              </w:rPr>
            </w:pPr>
            <w:r>
              <w:rPr>
                <w:rFonts w:hint="eastAsia" w:ascii="宋体" w:hAnsi="宋体" w:cs="宋体"/>
                <w:sz w:val="24"/>
                <w:szCs w:val="24"/>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6</w:t>
            </w:r>
          </w:p>
        </w:tc>
        <w:tc>
          <w:tcPr>
            <w:tcW w:w="3420" w:type="dxa"/>
            <w:vAlign w:val="center"/>
          </w:tcPr>
          <w:p>
            <w:pPr>
              <w:rPr>
                <w:rFonts w:ascii="宋体" w:hAnsi="宋体" w:cs="宋体"/>
                <w:sz w:val="24"/>
                <w:szCs w:val="24"/>
              </w:rPr>
            </w:pPr>
            <w:r>
              <w:rPr>
                <w:rFonts w:hint="eastAsia" w:ascii="宋体" w:hAnsi="宋体" w:cs="宋体"/>
                <w:sz w:val="24"/>
                <w:szCs w:val="24"/>
              </w:rPr>
              <w:t>控制柜各仪表</w:t>
            </w:r>
          </w:p>
        </w:tc>
        <w:tc>
          <w:tcPr>
            <w:tcW w:w="5220" w:type="dxa"/>
            <w:vAlign w:val="center"/>
          </w:tcPr>
          <w:p>
            <w:pPr>
              <w:rPr>
                <w:rFonts w:ascii="宋体" w:hAnsi="宋体" w:cs="宋体"/>
                <w:sz w:val="24"/>
                <w:szCs w:val="24"/>
              </w:rPr>
            </w:pPr>
            <w:r>
              <w:rPr>
                <w:rFonts w:hint="eastAsia" w:ascii="宋体" w:hAnsi="宋体" w:cs="宋体"/>
                <w:sz w:val="24"/>
                <w:szCs w:val="24"/>
              </w:rPr>
              <w:t>显示正确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7</w:t>
            </w:r>
          </w:p>
        </w:tc>
        <w:tc>
          <w:tcPr>
            <w:tcW w:w="3420" w:type="dxa"/>
            <w:vAlign w:val="center"/>
          </w:tcPr>
          <w:p>
            <w:pPr>
              <w:rPr>
                <w:rFonts w:ascii="宋体" w:hAnsi="宋体" w:cs="宋体"/>
                <w:sz w:val="24"/>
                <w:szCs w:val="24"/>
              </w:rPr>
            </w:pPr>
            <w:r>
              <w:rPr>
                <w:rFonts w:hint="eastAsia" w:ascii="宋体" w:hAnsi="宋体" w:cs="宋体"/>
                <w:sz w:val="24"/>
                <w:szCs w:val="24"/>
              </w:rPr>
              <w:t>井道、对重、轿顶各反绳轮轴承部</w:t>
            </w:r>
          </w:p>
        </w:tc>
        <w:tc>
          <w:tcPr>
            <w:tcW w:w="5220" w:type="dxa"/>
            <w:vAlign w:val="center"/>
          </w:tcPr>
          <w:p>
            <w:pPr>
              <w:rPr>
                <w:rFonts w:ascii="宋体" w:hAnsi="宋体" w:cs="宋体"/>
                <w:sz w:val="24"/>
                <w:szCs w:val="24"/>
              </w:rPr>
            </w:pPr>
            <w:r>
              <w:rPr>
                <w:rFonts w:hint="eastAsia" w:ascii="宋体" w:hAnsi="宋体" w:cs="宋体"/>
                <w:sz w:val="24"/>
                <w:szCs w:val="24"/>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8</w:t>
            </w:r>
          </w:p>
        </w:tc>
        <w:tc>
          <w:tcPr>
            <w:tcW w:w="3420" w:type="dxa"/>
            <w:vAlign w:val="center"/>
          </w:tcPr>
          <w:p>
            <w:pPr>
              <w:rPr>
                <w:rFonts w:ascii="宋体" w:hAnsi="宋体" w:cs="宋体"/>
                <w:sz w:val="24"/>
                <w:szCs w:val="24"/>
              </w:rPr>
            </w:pPr>
            <w:r>
              <w:rPr>
                <w:rFonts w:hint="eastAsia" w:ascii="宋体" w:hAnsi="宋体" w:cs="宋体"/>
                <w:sz w:val="24"/>
                <w:szCs w:val="24"/>
              </w:rPr>
              <w:t>曳引绳、补偿绳</w:t>
            </w:r>
          </w:p>
        </w:tc>
        <w:tc>
          <w:tcPr>
            <w:tcW w:w="5220" w:type="dxa"/>
            <w:vAlign w:val="center"/>
          </w:tcPr>
          <w:p>
            <w:pPr>
              <w:rPr>
                <w:rFonts w:ascii="宋体" w:hAnsi="宋体" w:cs="宋体"/>
                <w:sz w:val="24"/>
                <w:szCs w:val="24"/>
              </w:rPr>
            </w:pPr>
            <w:r>
              <w:rPr>
                <w:rFonts w:hint="eastAsia" w:ascii="宋体" w:hAnsi="宋体" w:cs="宋体"/>
                <w:sz w:val="24"/>
                <w:szCs w:val="24"/>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9</w:t>
            </w:r>
          </w:p>
        </w:tc>
        <w:tc>
          <w:tcPr>
            <w:tcW w:w="3420" w:type="dxa"/>
            <w:vAlign w:val="center"/>
          </w:tcPr>
          <w:p>
            <w:pPr>
              <w:rPr>
                <w:rFonts w:ascii="宋体" w:hAnsi="宋体" w:cs="宋体"/>
                <w:sz w:val="24"/>
                <w:szCs w:val="24"/>
              </w:rPr>
            </w:pPr>
            <w:r>
              <w:rPr>
                <w:rFonts w:hint="eastAsia" w:ascii="宋体" w:hAnsi="宋体" w:cs="宋体"/>
                <w:sz w:val="24"/>
                <w:szCs w:val="24"/>
              </w:rPr>
              <w:t>曳引绳绳头组合</w:t>
            </w:r>
          </w:p>
        </w:tc>
        <w:tc>
          <w:tcPr>
            <w:tcW w:w="5220" w:type="dxa"/>
            <w:vAlign w:val="center"/>
          </w:tcPr>
          <w:p>
            <w:pPr>
              <w:rPr>
                <w:rFonts w:ascii="宋体" w:hAnsi="宋体" w:cs="宋体"/>
                <w:sz w:val="24"/>
                <w:szCs w:val="24"/>
              </w:rPr>
            </w:pPr>
            <w:r>
              <w:rPr>
                <w:rFonts w:hint="eastAsia" w:ascii="宋体" w:hAnsi="宋体" w:cs="宋体"/>
                <w:sz w:val="24"/>
                <w:szCs w:val="24"/>
              </w:rPr>
              <w:t>螺母无松动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10</w:t>
            </w:r>
          </w:p>
        </w:tc>
        <w:tc>
          <w:tcPr>
            <w:tcW w:w="3420" w:type="dxa"/>
            <w:vAlign w:val="center"/>
          </w:tcPr>
          <w:p>
            <w:pPr>
              <w:rPr>
                <w:rFonts w:ascii="宋体" w:hAnsi="宋体" w:cs="宋体"/>
                <w:sz w:val="24"/>
                <w:szCs w:val="24"/>
              </w:rPr>
            </w:pPr>
            <w:r>
              <w:rPr>
                <w:rFonts w:hint="eastAsia" w:ascii="宋体" w:hAnsi="宋体" w:cs="宋体"/>
                <w:sz w:val="24"/>
                <w:szCs w:val="24"/>
              </w:rPr>
              <w:t>限速器钢丝绳</w:t>
            </w:r>
          </w:p>
        </w:tc>
        <w:tc>
          <w:tcPr>
            <w:tcW w:w="5220" w:type="dxa"/>
            <w:vAlign w:val="center"/>
          </w:tcPr>
          <w:p>
            <w:pPr>
              <w:rPr>
                <w:rFonts w:ascii="宋体" w:hAnsi="宋体" w:cs="宋体"/>
                <w:sz w:val="24"/>
                <w:szCs w:val="24"/>
              </w:rPr>
            </w:pPr>
            <w:r>
              <w:rPr>
                <w:rFonts w:hint="eastAsia" w:ascii="宋体" w:hAnsi="宋体" w:cs="宋体"/>
                <w:sz w:val="24"/>
                <w:szCs w:val="24"/>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11</w:t>
            </w:r>
          </w:p>
        </w:tc>
        <w:tc>
          <w:tcPr>
            <w:tcW w:w="3420" w:type="dxa"/>
            <w:vAlign w:val="center"/>
          </w:tcPr>
          <w:p>
            <w:pPr>
              <w:rPr>
                <w:rFonts w:ascii="宋体" w:hAnsi="宋体" w:cs="宋体"/>
                <w:sz w:val="24"/>
                <w:szCs w:val="24"/>
              </w:rPr>
            </w:pPr>
            <w:r>
              <w:rPr>
                <w:rFonts w:hint="eastAsia" w:ascii="宋体" w:hAnsi="宋体" w:cs="宋体"/>
                <w:sz w:val="24"/>
                <w:szCs w:val="24"/>
              </w:rPr>
              <w:t>层门、轿门门扇</w:t>
            </w:r>
          </w:p>
        </w:tc>
        <w:tc>
          <w:tcPr>
            <w:tcW w:w="5220" w:type="dxa"/>
            <w:vAlign w:val="center"/>
          </w:tcPr>
          <w:p>
            <w:pPr>
              <w:rPr>
                <w:rFonts w:ascii="宋体" w:hAnsi="宋体" w:cs="宋体"/>
                <w:sz w:val="24"/>
                <w:szCs w:val="24"/>
              </w:rPr>
            </w:pPr>
            <w:r>
              <w:rPr>
                <w:rFonts w:hint="eastAsia" w:ascii="宋体" w:hAnsi="宋体" w:cs="宋体"/>
                <w:sz w:val="24"/>
                <w:szCs w:val="24"/>
              </w:rPr>
              <w:t>门扇各相关间隙符合标准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12</w:t>
            </w:r>
          </w:p>
        </w:tc>
        <w:tc>
          <w:tcPr>
            <w:tcW w:w="3420" w:type="dxa"/>
            <w:vAlign w:val="center"/>
          </w:tcPr>
          <w:p>
            <w:pPr>
              <w:rPr>
                <w:rFonts w:ascii="宋体" w:hAnsi="宋体" w:cs="宋体"/>
                <w:sz w:val="24"/>
                <w:szCs w:val="24"/>
              </w:rPr>
            </w:pPr>
            <w:r>
              <w:rPr>
                <w:rFonts w:hint="eastAsia" w:ascii="宋体" w:hAnsi="宋体" w:cs="宋体"/>
                <w:sz w:val="24"/>
                <w:szCs w:val="24"/>
              </w:rPr>
              <w:t>轿门开门限制装置</w:t>
            </w:r>
          </w:p>
        </w:tc>
        <w:tc>
          <w:tcPr>
            <w:tcW w:w="5220" w:type="dxa"/>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13</w:t>
            </w:r>
          </w:p>
        </w:tc>
        <w:tc>
          <w:tcPr>
            <w:tcW w:w="3420" w:type="dxa"/>
            <w:vAlign w:val="center"/>
          </w:tcPr>
          <w:p>
            <w:pPr>
              <w:rPr>
                <w:rFonts w:ascii="宋体" w:hAnsi="宋体" w:cs="宋体"/>
                <w:sz w:val="24"/>
                <w:szCs w:val="24"/>
              </w:rPr>
            </w:pPr>
            <w:r>
              <w:rPr>
                <w:rFonts w:hint="eastAsia" w:ascii="宋体" w:hAnsi="宋体" w:cs="宋体"/>
                <w:sz w:val="24"/>
                <w:szCs w:val="24"/>
              </w:rPr>
              <w:t>对重缓冲距</w:t>
            </w:r>
          </w:p>
        </w:tc>
        <w:tc>
          <w:tcPr>
            <w:tcW w:w="5220" w:type="dxa"/>
            <w:vAlign w:val="center"/>
          </w:tcPr>
          <w:p>
            <w:pPr>
              <w:rPr>
                <w:rFonts w:ascii="宋体" w:hAnsi="宋体" w:cs="宋体"/>
                <w:sz w:val="24"/>
                <w:szCs w:val="24"/>
              </w:rPr>
            </w:pPr>
            <w:r>
              <w:rPr>
                <w:rFonts w:hint="eastAsia" w:ascii="宋体" w:hAnsi="宋体" w:cs="宋体"/>
                <w:sz w:val="24"/>
                <w:szCs w:val="24"/>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14</w:t>
            </w:r>
          </w:p>
        </w:tc>
        <w:tc>
          <w:tcPr>
            <w:tcW w:w="3420" w:type="dxa"/>
            <w:vAlign w:val="center"/>
          </w:tcPr>
          <w:p>
            <w:pPr>
              <w:rPr>
                <w:rFonts w:ascii="宋体" w:hAnsi="宋体" w:cs="宋体"/>
                <w:sz w:val="24"/>
                <w:szCs w:val="24"/>
              </w:rPr>
            </w:pPr>
            <w:r>
              <w:rPr>
                <w:rFonts w:hint="eastAsia" w:ascii="宋体" w:hAnsi="宋体" w:cs="宋体"/>
                <w:sz w:val="24"/>
                <w:szCs w:val="24"/>
              </w:rPr>
              <w:t>补偿链（绳）与轿厢、对重接合处</w:t>
            </w:r>
          </w:p>
        </w:tc>
        <w:tc>
          <w:tcPr>
            <w:tcW w:w="5220" w:type="dxa"/>
            <w:vAlign w:val="center"/>
          </w:tcPr>
          <w:p>
            <w:pPr>
              <w:rPr>
                <w:rFonts w:ascii="宋体" w:hAnsi="宋体" w:cs="宋体"/>
                <w:sz w:val="24"/>
                <w:szCs w:val="24"/>
              </w:rPr>
            </w:pPr>
            <w:r>
              <w:rPr>
                <w:rFonts w:hint="eastAsia" w:ascii="宋体" w:hAnsi="宋体" w:cs="宋体"/>
                <w:sz w:val="24"/>
                <w:szCs w:val="24"/>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15</w:t>
            </w:r>
          </w:p>
        </w:tc>
        <w:tc>
          <w:tcPr>
            <w:tcW w:w="3420" w:type="dxa"/>
            <w:vAlign w:val="center"/>
          </w:tcPr>
          <w:p>
            <w:pPr>
              <w:rPr>
                <w:rFonts w:ascii="宋体" w:hAnsi="宋体" w:cs="宋体"/>
                <w:sz w:val="24"/>
                <w:szCs w:val="24"/>
              </w:rPr>
            </w:pPr>
            <w:r>
              <w:rPr>
                <w:rFonts w:hint="eastAsia" w:ascii="宋体" w:hAnsi="宋体" w:cs="宋体"/>
                <w:sz w:val="24"/>
                <w:szCs w:val="24"/>
              </w:rPr>
              <w:t>上下极限开关</w:t>
            </w:r>
          </w:p>
        </w:tc>
        <w:tc>
          <w:tcPr>
            <w:tcW w:w="5220" w:type="dxa"/>
            <w:vAlign w:val="center"/>
          </w:tcPr>
          <w:p>
            <w:pPr>
              <w:rPr>
                <w:rFonts w:ascii="宋体" w:hAnsi="宋体" w:cs="宋体"/>
                <w:sz w:val="24"/>
                <w:szCs w:val="24"/>
              </w:rPr>
            </w:pPr>
            <w:r>
              <w:rPr>
                <w:rFonts w:hint="eastAsia" w:ascii="宋体" w:hAnsi="宋体" w:cs="宋体"/>
                <w:sz w:val="24"/>
                <w:szCs w:val="24"/>
              </w:rPr>
              <w:t>工作正常</w:t>
            </w:r>
          </w:p>
        </w:tc>
      </w:tr>
    </w:tbl>
    <w:p>
      <w:pPr>
        <w:rPr>
          <w:rFonts w:ascii="宋体" w:hAnsi="宋体" w:cs="宋体"/>
          <w:sz w:val="24"/>
          <w:szCs w:val="24"/>
        </w:rPr>
      </w:pPr>
      <w:r>
        <w:rPr>
          <w:rFonts w:hint="eastAsia" w:ascii="宋体" w:hAnsi="宋体" w:cs="宋体"/>
          <w:sz w:val="24"/>
          <w:szCs w:val="24"/>
        </w:rPr>
        <w:t>表A-4  年度维保项目（内容）和要求&lt;含半月、季度及半年维保项目&gt;</w:t>
      </w:r>
    </w:p>
    <w:tbl>
      <w:tblPr>
        <w:tblStyle w:val="14"/>
        <w:tblW w:w="0" w:type="auto"/>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420"/>
        <w:gridCol w:w="52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序号</w:t>
            </w:r>
          </w:p>
        </w:tc>
        <w:tc>
          <w:tcPr>
            <w:tcW w:w="3420" w:type="dxa"/>
            <w:vAlign w:val="center"/>
          </w:tcPr>
          <w:p>
            <w:pPr>
              <w:rPr>
                <w:rFonts w:ascii="宋体" w:hAnsi="宋体" w:cs="宋体"/>
                <w:sz w:val="24"/>
                <w:szCs w:val="24"/>
              </w:rPr>
            </w:pPr>
            <w:r>
              <w:rPr>
                <w:rFonts w:hint="eastAsia" w:ascii="宋体" w:hAnsi="宋体" w:cs="宋体"/>
                <w:sz w:val="24"/>
                <w:szCs w:val="24"/>
              </w:rPr>
              <w:t>维保项目（内容）</w:t>
            </w:r>
          </w:p>
        </w:tc>
        <w:tc>
          <w:tcPr>
            <w:tcW w:w="5220" w:type="dxa"/>
            <w:vAlign w:val="center"/>
          </w:tcPr>
          <w:p>
            <w:pPr>
              <w:rPr>
                <w:rFonts w:ascii="宋体" w:hAnsi="宋体" w:cs="宋体"/>
                <w:sz w:val="24"/>
                <w:szCs w:val="24"/>
              </w:rPr>
            </w:pPr>
            <w:r>
              <w:rPr>
                <w:rFonts w:hint="eastAsia" w:ascii="宋体" w:hAnsi="宋体" w:cs="宋体"/>
                <w:sz w:val="24"/>
                <w:szCs w:val="24"/>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w:t>
            </w:r>
          </w:p>
        </w:tc>
        <w:tc>
          <w:tcPr>
            <w:tcW w:w="3420" w:type="dxa"/>
            <w:vAlign w:val="center"/>
          </w:tcPr>
          <w:p>
            <w:pPr>
              <w:rPr>
                <w:rFonts w:ascii="宋体" w:hAnsi="宋体" w:cs="宋体"/>
                <w:sz w:val="24"/>
                <w:szCs w:val="24"/>
              </w:rPr>
            </w:pPr>
            <w:r>
              <w:rPr>
                <w:rFonts w:hint="eastAsia" w:ascii="宋体" w:hAnsi="宋体" w:cs="宋体"/>
                <w:sz w:val="24"/>
                <w:szCs w:val="24"/>
              </w:rPr>
              <w:t>减速机润滑油</w:t>
            </w:r>
          </w:p>
        </w:tc>
        <w:tc>
          <w:tcPr>
            <w:tcW w:w="5220" w:type="dxa"/>
            <w:vAlign w:val="center"/>
          </w:tcPr>
          <w:p>
            <w:pPr>
              <w:rPr>
                <w:rFonts w:ascii="宋体" w:hAnsi="宋体" w:cs="宋体"/>
                <w:sz w:val="24"/>
                <w:szCs w:val="24"/>
              </w:rPr>
            </w:pPr>
            <w:r>
              <w:rPr>
                <w:rFonts w:hint="eastAsia" w:ascii="宋体" w:hAnsi="宋体" w:cs="宋体"/>
                <w:sz w:val="24"/>
                <w:szCs w:val="24"/>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2</w:t>
            </w:r>
          </w:p>
        </w:tc>
        <w:tc>
          <w:tcPr>
            <w:tcW w:w="3420" w:type="dxa"/>
            <w:vAlign w:val="center"/>
          </w:tcPr>
          <w:p>
            <w:pPr>
              <w:rPr>
                <w:rFonts w:ascii="宋体" w:hAnsi="宋体" w:cs="宋体"/>
                <w:sz w:val="24"/>
                <w:szCs w:val="24"/>
              </w:rPr>
            </w:pPr>
            <w:r>
              <w:rPr>
                <w:rFonts w:hint="eastAsia" w:ascii="宋体" w:hAnsi="宋体" w:cs="宋体"/>
                <w:sz w:val="24"/>
                <w:szCs w:val="24"/>
              </w:rPr>
              <w:t>控制柜接触器，继电器触点</w:t>
            </w:r>
          </w:p>
        </w:tc>
        <w:tc>
          <w:tcPr>
            <w:tcW w:w="5220" w:type="dxa"/>
            <w:vAlign w:val="center"/>
          </w:tcPr>
          <w:p>
            <w:pPr>
              <w:rPr>
                <w:rFonts w:ascii="宋体" w:hAnsi="宋体" w:cs="宋体"/>
                <w:sz w:val="24"/>
                <w:szCs w:val="24"/>
              </w:rPr>
            </w:pPr>
            <w:r>
              <w:rPr>
                <w:rFonts w:hint="eastAsia" w:ascii="宋体" w:hAnsi="宋体" w:cs="宋体"/>
                <w:sz w:val="24"/>
                <w:szCs w:val="24"/>
              </w:rPr>
              <w:t>接触良好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3</w:t>
            </w:r>
          </w:p>
        </w:tc>
        <w:tc>
          <w:tcPr>
            <w:tcW w:w="3420" w:type="dxa"/>
            <w:vAlign w:val="center"/>
          </w:tcPr>
          <w:p>
            <w:pPr>
              <w:rPr>
                <w:rFonts w:ascii="宋体" w:hAnsi="宋体" w:cs="宋体"/>
                <w:sz w:val="24"/>
                <w:szCs w:val="24"/>
              </w:rPr>
            </w:pPr>
            <w:r>
              <w:rPr>
                <w:rFonts w:hint="eastAsia" w:ascii="宋体" w:hAnsi="宋体" w:cs="宋体"/>
                <w:sz w:val="24"/>
                <w:szCs w:val="24"/>
              </w:rPr>
              <w:t>制动器铁芯（柱塞）</w:t>
            </w:r>
          </w:p>
        </w:tc>
        <w:tc>
          <w:tcPr>
            <w:tcW w:w="5220" w:type="dxa"/>
            <w:vAlign w:val="center"/>
          </w:tcPr>
          <w:p>
            <w:pPr>
              <w:rPr>
                <w:rFonts w:ascii="宋体" w:hAnsi="宋体" w:cs="宋体"/>
                <w:sz w:val="24"/>
                <w:szCs w:val="24"/>
              </w:rPr>
            </w:pPr>
            <w:r>
              <w:rPr>
                <w:rFonts w:hint="eastAsia" w:ascii="宋体" w:hAnsi="宋体" w:cs="宋体"/>
                <w:sz w:val="24"/>
                <w:szCs w:val="24"/>
              </w:rPr>
              <w:t>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4</w:t>
            </w:r>
          </w:p>
        </w:tc>
        <w:tc>
          <w:tcPr>
            <w:tcW w:w="3420" w:type="dxa"/>
            <w:vAlign w:val="center"/>
          </w:tcPr>
          <w:p>
            <w:pPr>
              <w:rPr>
                <w:rFonts w:ascii="宋体" w:hAnsi="宋体" w:cs="宋体"/>
                <w:sz w:val="24"/>
                <w:szCs w:val="24"/>
              </w:rPr>
            </w:pPr>
            <w:r>
              <w:rPr>
                <w:rFonts w:hint="eastAsia" w:ascii="宋体" w:hAnsi="宋体" w:cs="宋体"/>
                <w:sz w:val="24"/>
                <w:szCs w:val="24"/>
              </w:rPr>
              <w:t>制动器制动弹簧压缩量</w:t>
            </w:r>
          </w:p>
        </w:tc>
        <w:tc>
          <w:tcPr>
            <w:tcW w:w="5220" w:type="dxa"/>
            <w:vAlign w:val="center"/>
          </w:tcPr>
          <w:p>
            <w:pPr>
              <w:rPr>
                <w:rFonts w:ascii="宋体" w:hAnsi="宋体" w:cs="宋体"/>
                <w:sz w:val="24"/>
                <w:szCs w:val="24"/>
              </w:rPr>
            </w:pPr>
            <w:r>
              <w:rPr>
                <w:rFonts w:hint="eastAsia" w:ascii="宋体" w:hAnsi="宋体" w:cs="宋体"/>
                <w:sz w:val="24"/>
                <w:szCs w:val="24"/>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5</w:t>
            </w:r>
          </w:p>
        </w:tc>
        <w:tc>
          <w:tcPr>
            <w:tcW w:w="3420" w:type="dxa"/>
            <w:vAlign w:val="center"/>
          </w:tcPr>
          <w:p>
            <w:pPr>
              <w:rPr>
                <w:rFonts w:ascii="宋体" w:hAnsi="宋体" w:cs="宋体"/>
                <w:sz w:val="24"/>
                <w:szCs w:val="24"/>
              </w:rPr>
            </w:pPr>
            <w:r>
              <w:rPr>
                <w:rFonts w:hint="eastAsia" w:ascii="宋体" w:hAnsi="宋体" w:cs="宋体"/>
                <w:sz w:val="24"/>
                <w:szCs w:val="24"/>
              </w:rPr>
              <w:t>导电回路绝缘性能测试</w:t>
            </w:r>
          </w:p>
        </w:tc>
        <w:tc>
          <w:tcPr>
            <w:tcW w:w="5220" w:type="dxa"/>
            <w:vAlign w:val="center"/>
          </w:tcPr>
          <w:p>
            <w:pPr>
              <w:rPr>
                <w:rFonts w:ascii="宋体" w:hAnsi="宋体" w:cs="宋体"/>
                <w:sz w:val="24"/>
                <w:szCs w:val="24"/>
              </w:rPr>
            </w:pPr>
            <w:r>
              <w:rPr>
                <w:rFonts w:hint="eastAsia" w:ascii="宋体" w:hAnsi="宋体" w:cs="宋体"/>
                <w:sz w:val="24"/>
                <w:szCs w:val="24"/>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6</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限速器安全钳联动试验（对于使用年限不超过15年的限速器，每2年进行一次限速器动作速度校验；对于使用年限超过15年的限速器，每年进行一次限速器动作速度校验）</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7</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上行超速保护装置动作试验</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8</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轿厢意外移动保护装置动作试验</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9</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轿顶、轿厢架、轿门及其附件安装螺栓</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10</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轿厢和对重的导轨支架</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 xml:space="preserve">固定，无松动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11</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轿厢和对重的导轨</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清洁，压板牢固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12</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随行电缆</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无损伤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13</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层门装置和地坎</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14</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轿厢称重装置</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准确有效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15</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安全钳钳座</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16</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轿底各安装螺栓</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12" w:space="0"/>
              <w:right w:val="single" w:color="auto" w:sz="6" w:space="0"/>
            </w:tcBorders>
            <w:vAlign w:val="center"/>
          </w:tcPr>
          <w:p>
            <w:pPr>
              <w:rPr>
                <w:rFonts w:ascii="宋体" w:hAnsi="宋体" w:cs="宋体"/>
                <w:sz w:val="24"/>
                <w:szCs w:val="24"/>
              </w:rPr>
            </w:pPr>
            <w:r>
              <w:rPr>
                <w:rFonts w:hint="eastAsia" w:ascii="宋体" w:hAnsi="宋体" w:cs="宋体"/>
                <w:sz w:val="24"/>
                <w:szCs w:val="24"/>
              </w:rPr>
              <w:t>17</w:t>
            </w:r>
          </w:p>
        </w:tc>
        <w:tc>
          <w:tcPr>
            <w:tcW w:w="3420" w:type="dxa"/>
            <w:tcBorders>
              <w:top w:val="single" w:color="auto" w:sz="6" w:space="0"/>
              <w:left w:val="single" w:color="auto" w:sz="6" w:space="0"/>
              <w:bottom w:val="single" w:color="auto" w:sz="12" w:space="0"/>
              <w:right w:val="single" w:color="auto" w:sz="6" w:space="0"/>
            </w:tcBorders>
            <w:vAlign w:val="center"/>
          </w:tcPr>
          <w:p>
            <w:pPr>
              <w:rPr>
                <w:rFonts w:ascii="宋体" w:hAnsi="宋体" w:cs="宋体"/>
                <w:sz w:val="24"/>
                <w:szCs w:val="24"/>
              </w:rPr>
            </w:pPr>
            <w:r>
              <w:rPr>
                <w:rFonts w:hint="eastAsia" w:ascii="宋体" w:hAnsi="宋体" w:cs="宋体"/>
                <w:sz w:val="24"/>
                <w:szCs w:val="24"/>
              </w:rPr>
              <w:t>缓冲器</w:t>
            </w:r>
          </w:p>
        </w:tc>
        <w:tc>
          <w:tcPr>
            <w:tcW w:w="5220" w:type="dxa"/>
            <w:tcBorders>
              <w:top w:val="single" w:color="auto" w:sz="6" w:space="0"/>
              <w:left w:val="single" w:color="auto" w:sz="6" w:space="0"/>
              <w:bottom w:val="single" w:color="auto" w:sz="12" w:space="0"/>
              <w:right w:val="single" w:color="auto" w:sz="12" w:space="0"/>
            </w:tcBorders>
            <w:vAlign w:val="center"/>
          </w:tcPr>
          <w:p>
            <w:pPr>
              <w:rPr>
                <w:rFonts w:ascii="宋体" w:hAnsi="宋体" w:cs="宋体"/>
                <w:sz w:val="24"/>
                <w:szCs w:val="24"/>
              </w:rPr>
            </w:pPr>
            <w:r>
              <w:rPr>
                <w:rFonts w:hint="eastAsia" w:ascii="宋体" w:hAnsi="宋体" w:cs="宋体"/>
                <w:sz w:val="24"/>
                <w:szCs w:val="24"/>
              </w:rPr>
              <w:t>固定，无松动</w:t>
            </w:r>
          </w:p>
        </w:tc>
      </w:tr>
    </w:tbl>
    <w:p>
      <w:pPr>
        <w:spacing w:line="360" w:lineRule="auto"/>
        <w:rPr>
          <w:rFonts w:ascii="黑体" w:hAnsi="宋体" w:eastAsia="黑体"/>
          <w:color w:val="000000"/>
          <w:sz w:val="24"/>
          <w:szCs w:val="24"/>
        </w:rPr>
      </w:pPr>
    </w:p>
    <w:p>
      <w:pPr>
        <w:spacing w:line="360" w:lineRule="auto"/>
        <w:rPr>
          <w:rFonts w:ascii="宋体" w:hAnsi="宋体" w:cs="宋体"/>
          <w:b/>
          <w:sz w:val="24"/>
          <w:szCs w:val="24"/>
        </w:rPr>
      </w:pPr>
      <w:r>
        <w:rPr>
          <w:rFonts w:hint="eastAsia" w:ascii="宋体" w:hAnsi="宋体" w:cs="宋体"/>
          <w:b/>
          <w:sz w:val="24"/>
          <w:szCs w:val="24"/>
        </w:rPr>
        <w:t>(五)电梯零部件更换要求：</w:t>
      </w:r>
    </w:p>
    <w:p>
      <w:pPr>
        <w:spacing w:line="360" w:lineRule="auto"/>
        <w:ind w:firstLine="480" w:firstLineChars="200"/>
        <w:rPr>
          <w:rFonts w:ascii="宋体" w:hAnsi="宋体" w:cs="宋体"/>
          <w:bCs/>
          <w:sz w:val="24"/>
          <w:szCs w:val="24"/>
        </w:rPr>
      </w:pPr>
      <w:r>
        <w:rPr>
          <w:rFonts w:hint="eastAsia" w:ascii="汉仪中黑简体" w:eastAsia="汉仪中黑简体"/>
          <w:sz w:val="24"/>
        </w:rPr>
        <w:t>1.为保证电梯的正常运行，投标人应做好电梯常用零部件备库管理，储存合理数量的专用备件和零件，当</w:t>
      </w:r>
      <w:r>
        <w:rPr>
          <w:rFonts w:hint="eastAsia" w:ascii="汉仪中黑简体" w:hAnsi="宋体" w:eastAsia="汉仪中黑简体"/>
          <w:sz w:val="24"/>
          <w:szCs w:val="30"/>
        </w:rPr>
        <w:t>发现电梯部件依靠日常维护保养不能安全运行</w:t>
      </w:r>
      <w:r>
        <w:rPr>
          <w:rFonts w:ascii="汉仪中黑简体" w:hAnsi="宋体" w:eastAsia="汉仪中黑简体"/>
          <w:sz w:val="24"/>
          <w:szCs w:val="30"/>
        </w:rPr>
        <w:t>，或者零件老化，可能导致电梯故障</w:t>
      </w:r>
      <w:r>
        <w:rPr>
          <w:rFonts w:hint="eastAsia" w:ascii="汉仪中黑简体" w:hAnsi="宋体" w:eastAsia="汉仪中黑简体"/>
          <w:sz w:val="24"/>
          <w:szCs w:val="30"/>
        </w:rPr>
        <w:t>时，</w:t>
      </w:r>
      <w:r>
        <w:rPr>
          <w:rFonts w:hint="eastAsia" w:ascii="汉仪中黑简体" w:eastAsia="汉仪中黑简体"/>
          <w:sz w:val="24"/>
        </w:rPr>
        <w:t>对500元以下相应部件进行</w:t>
      </w:r>
      <w:r>
        <w:rPr>
          <w:rFonts w:hint="eastAsia" w:ascii="汉仪中黑简体" w:hAnsi="宋体" w:eastAsia="汉仪中黑简体"/>
          <w:sz w:val="24"/>
          <w:szCs w:val="30"/>
        </w:rPr>
        <w:t>免费</w:t>
      </w:r>
      <w:r>
        <w:rPr>
          <w:rFonts w:hint="eastAsia" w:ascii="汉仪中黑简体" w:eastAsia="汉仪中黑简体"/>
          <w:sz w:val="24"/>
        </w:rPr>
        <w:t>修理或更换</w:t>
      </w:r>
      <w:r>
        <w:rPr>
          <w:rFonts w:hint="eastAsia" w:ascii="宋体" w:hAnsi="宋体" w:cs="宋体"/>
          <w:bCs/>
          <w:sz w:val="24"/>
          <w:szCs w:val="24"/>
        </w:rPr>
        <w:t>。</w:t>
      </w:r>
    </w:p>
    <w:p>
      <w:pPr>
        <w:spacing w:line="360" w:lineRule="auto"/>
        <w:ind w:firstLine="480" w:firstLineChars="200"/>
        <w:rPr>
          <w:rFonts w:ascii="汉仪中黑简体" w:hAnsi="宋体" w:eastAsia="汉仪中黑简体"/>
          <w:sz w:val="24"/>
          <w:szCs w:val="30"/>
        </w:rPr>
      </w:pPr>
      <w:r>
        <w:rPr>
          <w:rFonts w:hint="eastAsia" w:ascii="汉仪中黑简体" w:hAnsi="宋体" w:eastAsia="汉仪中黑简体"/>
          <w:sz w:val="24"/>
          <w:szCs w:val="30"/>
        </w:rPr>
        <w:t>2.中标单位按要求定期巡视电梯运行情况，发现故障、异常及时组织维修处理，常用零配件的更换不得超过24小时，大型部件的更换不得超过表1的采购周期，更换的配件必须与原配件同品牌。</w:t>
      </w:r>
    </w:p>
    <w:p>
      <w:pPr>
        <w:spacing w:line="360" w:lineRule="auto"/>
        <w:ind w:firstLine="1680" w:firstLineChars="700"/>
        <w:rPr>
          <w:rFonts w:ascii="宋体" w:hAnsi="宋体" w:cs="宋体"/>
          <w:bCs/>
          <w:sz w:val="24"/>
          <w:szCs w:val="24"/>
        </w:rPr>
      </w:pPr>
      <w:r>
        <w:rPr>
          <w:rFonts w:hint="eastAsia" w:ascii="宋体" w:hAnsi="宋体" w:cs="宋体"/>
          <w:bCs/>
          <w:sz w:val="24"/>
          <w:szCs w:val="24"/>
        </w:rPr>
        <w:t>表1《电梯大型部件维修更换响应表》</w:t>
      </w:r>
    </w:p>
    <w:tbl>
      <w:tblPr>
        <w:tblStyle w:val="14"/>
        <w:tblW w:w="0" w:type="auto"/>
        <w:tblInd w:w="-10" w:type="dxa"/>
        <w:tblLayout w:type="fixed"/>
        <w:tblCellMar>
          <w:top w:w="0" w:type="dxa"/>
          <w:left w:w="0" w:type="dxa"/>
          <w:bottom w:w="0" w:type="dxa"/>
          <w:right w:w="0" w:type="dxa"/>
        </w:tblCellMar>
      </w:tblPr>
      <w:tblGrid>
        <w:gridCol w:w="1541"/>
        <w:gridCol w:w="2605"/>
        <w:gridCol w:w="3409"/>
      </w:tblGrid>
      <w:tr>
        <w:tblPrEx>
          <w:tblCellMar>
            <w:top w:w="0" w:type="dxa"/>
            <w:left w:w="0" w:type="dxa"/>
            <w:bottom w:w="0" w:type="dxa"/>
            <w:right w:w="0" w:type="dxa"/>
          </w:tblCellMar>
        </w:tblPrEx>
        <w:trPr>
          <w:trHeight w:val="90" w:hRule="atLeast"/>
        </w:trPr>
        <w:tc>
          <w:tcPr>
            <w:tcW w:w="15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序号</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元器件名称</w:t>
            </w:r>
          </w:p>
        </w:tc>
        <w:tc>
          <w:tcPr>
            <w:tcW w:w="3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采购周期</w:t>
            </w:r>
          </w:p>
        </w:tc>
      </w:tr>
      <w:tr>
        <w:tblPrEx>
          <w:tblCellMar>
            <w:top w:w="0" w:type="dxa"/>
            <w:left w:w="0" w:type="dxa"/>
            <w:bottom w:w="0" w:type="dxa"/>
            <w:right w:w="0" w:type="dxa"/>
          </w:tblCellMar>
        </w:tblPrEx>
        <w:trPr>
          <w:trHeight w:val="510" w:hRule="atLeast"/>
        </w:trPr>
        <w:tc>
          <w:tcPr>
            <w:tcW w:w="15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返绳轮</w:t>
            </w:r>
          </w:p>
        </w:tc>
        <w:tc>
          <w:tcPr>
            <w:tcW w:w="3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≦2周</w:t>
            </w:r>
          </w:p>
        </w:tc>
      </w:tr>
      <w:tr>
        <w:tblPrEx>
          <w:tblCellMar>
            <w:top w:w="0" w:type="dxa"/>
            <w:left w:w="0" w:type="dxa"/>
            <w:bottom w:w="0" w:type="dxa"/>
            <w:right w:w="0" w:type="dxa"/>
          </w:tblCellMar>
        </w:tblPrEx>
        <w:trPr>
          <w:trHeight w:val="395" w:hRule="atLeast"/>
        </w:trPr>
        <w:tc>
          <w:tcPr>
            <w:tcW w:w="15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2</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汉仪中黑简体" w:hAnsi="宋体" w:eastAsia="汉仪中黑简体"/>
                <w:sz w:val="24"/>
                <w:szCs w:val="30"/>
              </w:rPr>
            </w:pPr>
            <w:r>
              <w:rPr>
                <w:rFonts w:hint="eastAsia" w:ascii="汉仪中黑简体" w:hAnsi="宋体" w:eastAsia="汉仪中黑简体"/>
                <w:sz w:val="24"/>
                <w:szCs w:val="30"/>
              </w:rPr>
              <w:t>限速器</w:t>
            </w:r>
          </w:p>
        </w:tc>
        <w:tc>
          <w:tcPr>
            <w:tcW w:w="3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≦6周</w:t>
            </w:r>
          </w:p>
        </w:tc>
      </w:tr>
      <w:tr>
        <w:tblPrEx>
          <w:tblCellMar>
            <w:top w:w="0" w:type="dxa"/>
            <w:left w:w="0" w:type="dxa"/>
            <w:bottom w:w="0" w:type="dxa"/>
            <w:right w:w="0" w:type="dxa"/>
          </w:tblCellMar>
        </w:tblPrEx>
        <w:trPr>
          <w:trHeight w:val="636" w:hRule="atLeast"/>
        </w:trPr>
        <w:tc>
          <w:tcPr>
            <w:tcW w:w="15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3</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钢丝绳</w:t>
            </w:r>
          </w:p>
        </w:tc>
        <w:tc>
          <w:tcPr>
            <w:tcW w:w="3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≦2周</w:t>
            </w:r>
          </w:p>
        </w:tc>
      </w:tr>
      <w:tr>
        <w:tblPrEx>
          <w:tblCellMar>
            <w:top w:w="0" w:type="dxa"/>
            <w:left w:w="0" w:type="dxa"/>
            <w:bottom w:w="0" w:type="dxa"/>
            <w:right w:w="0" w:type="dxa"/>
          </w:tblCellMar>
        </w:tblPrEx>
        <w:trPr>
          <w:trHeight w:val="636" w:hRule="atLeast"/>
        </w:trPr>
        <w:tc>
          <w:tcPr>
            <w:tcW w:w="15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4</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缓冲器</w:t>
            </w:r>
          </w:p>
        </w:tc>
        <w:tc>
          <w:tcPr>
            <w:tcW w:w="3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≦4周</w:t>
            </w:r>
          </w:p>
        </w:tc>
      </w:tr>
      <w:tr>
        <w:tblPrEx>
          <w:tblCellMar>
            <w:top w:w="0" w:type="dxa"/>
            <w:left w:w="0" w:type="dxa"/>
            <w:bottom w:w="0" w:type="dxa"/>
            <w:right w:w="0" w:type="dxa"/>
          </w:tblCellMar>
        </w:tblPrEx>
        <w:trPr>
          <w:trHeight w:val="540" w:hRule="atLeast"/>
        </w:trPr>
        <w:tc>
          <w:tcPr>
            <w:tcW w:w="15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5</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补偿链</w:t>
            </w:r>
          </w:p>
        </w:tc>
        <w:tc>
          <w:tcPr>
            <w:tcW w:w="3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≦4周</w:t>
            </w:r>
          </w:p>
        </w:tc>
      </w:tr>
    </w:tbl>
    <w:p>
      <w:pPr>
        <w:spacing w:line="360" w:lineRule="auto"/>
        <w:rPr>
          <w:rFonts w:ascii="宋体" w:hAnsi="宋体" w:cs="宋体"/>
          <w:bCs/>
          <w:sz w:val="24"/>
          <w:szCs w:val="24"/>
        </w:rPr>
      </w:pPr>
      <w:r>
        <w:rPr>
          <w:rFonts w:hint="eastAsia" w:ascii="宋体" w:hAnsi="宋体" w:cs="宋体"/>
          <w:bCs/>
          <w:sz w:val="24"/>
          <w:szCs w:val="24"/>
        </w:rPr>
        <w:t>3.由于招标方原因或者使用不当导致的配件损坏，在招标方书面同意后，中标方应及时更换。</w:t>
      </w:r>
    </w:p>
    <w:p>
      <w:pPr>
        <w:spacing w:line="360" w:lineRule="auto"/>
        <w:rPr>
          <w:b/>
          <w:sz w:val="24"/>
          <w:szCs w:val="24"/>
        </w:rPr>
      </w:pPr>
      <w:r>
        <w:rPr>
          <w:rFonts w:hint="eastAsia"/>
          <w:b/>
          <w:sz w:val="24"/>
          <w:szCs w:val="24"/>
        </w:rPr>
        <w:t>（六）维保付款事项及要求：</w:t>
      </w:r>
    </w:p>
    <w:p>
      <w:pPr>
        <w:pStyle w:val="4"/>
        <w:ind w:firstLine="480" w:firstLineChars="200"/>
        <w:rPr>
          <w:rFonts w:ascii="汉仪中黑简体" w:hAnsi="宋体" w:eastAsia="汉仪中黑简体" w:cs="Times New Roman"/>
          <w:color w:val="0000FF"/>
          <w:szCs w:val="30"/>
          <w:lang w:eastAsia="zh-CN"/>
        </w:rPr>
      </w:pPr>
      <w:r>
        <w:rPr>
          <w:rFonts w:hint="eastAsia" w:ascii="汉仪中黑简体" w:hAnsi="宋体" w:eastAsia="汉仪中黑简体" w:cs="Times New Roman"/>
          <w:color w:val="0000FF"/>
          <w:szCs w:val="30"/>
          <w:lang w:eastAsia="zh-CN"/>
        </w:rPr>
        <w:t>1、维保期内，甲方每季度对乙方的响应速度、服务态度、服务质量等方面进行考核，根据乙方对电梯维护情况，执行维保付款事项。</w:t>
      </w:r>
    </w:p>
    <w:p>
      <w:pPr>
        <w:spacing w:line="360" w:lineRule="auto"/>
        <w:ind w:firstLine="480" w:firstLineChars="200"/>
        <w:rPr>
          <w:rFonts w:ascii="汉仪中黑简体" w:hAnsi="宋体" w:eastAsia="汉仪中黑简体"/>
          <w:color w:val="0000FF"/>
          <w:sz w:val="24"/>
          <w:szCs w:val="30"/>
        </w:rPr>
      </w:pPr>
      <w:r>
        <w:rPr>
          <w:rFonts w:hint="eastAsia" w:ascii="汉仪中黑简体" w:hAnsi="宋体" w:eastAsia="汉仪中黑简体"/>
          <w:color w:val="0000FF"/>
          <w:sz w:val="24"/>
          <w:szCs w:val="30"/>
        </w:rPr>
        <w:t>2、维保期内，未按国家相关规定提供电梯维保工作或未认真填写相关记录，发现一次处当季应支付维保款项的千分之二，当季发现第二次加倍，以此类推。</w:t>
      </w:r>
    </w:p>
    <w:p>
      <w:pPr>
        <w:spacing w:line="360" w:lineRule="auto"/>
        <w:ind w:firstLine="480" w:firstLineChars="200"/>
        <w:rPr>
          <w:rFonts w:ascii="汉仪中黑简体" w:hAnsi="宋体" w:eastAsia="汉仪中黑简体"/>
          <w:color w:val="0000FF"/>
          <w:sz w:val="24"/>
          <w:szCs w:val="30"/>
        </w:rPr>
      </w:pPr>
      <w:r>
        <w:rPr>
          <w:rFonts w:hint="eastAsia" w:ascii="汉仪中黑简体" w:hAnsi="宋体" w:eastAsia="汉仪中黑简体"/>
          <w:color w:val="0000FF"/>
          <w:sz w:val="24"/>
          <w:szCs w:val="30"/>
        </w:rPr>
        <w:t>3、维保期内，发生电梯关人事件，乙方未在15分钟内到达现场并处理故障，发现一次处当季应支付维保款项的千分之一，当季发现第二次加倍，以此类推。</w:t>
      </w:r>
    </w:p>
    <w:p>
      <w:pPr>
        <w:spacing w:line="360" w:lineRule="auto"/>
        <w:ind w:firstLine="480" w:firstLineChars="200"/>
        <w:rPr>
          <w:rFonts w:ascii="汉仪中黑简体" w:hAnsi="宋体" w:eastAsia="汉仪中黑简体"/>
          <w:color w:val="0000FF"/>
          <w:sz w:val="24"/>
          <w:szCs w:val="30"/>
        </w:rPr>
      </w:pPr>
      <w:r>
        <w:rPr>
          <w:rFonts w:hint="eastAsia" w:ascii="汉仪中黑简体" w:hAnsi="宋体" w:eastAsia="汉仪中黑简体"/>
          <w:color w:val="0000FF"/>
          <w:sz w:val="24"/>
          <w:szCs w:val="30"/>
        </w:rPr>
        <w:t>4、维保期内，若发现更换的零配件以次充好，假冒伪劣，处当季应支付维保款项的百分之一，且不予支付零配件费用，已支付的从当季应付维保款项中扣除。</w:t>
      </w:r>
    </w:p>
    <w:p>
      <w:pPr>
        <w:spacing w:line="360" w:lineRule="auto"/>
        <w:ind w:firstLine="480" w:firstLineChars="200"/>
        <w:rPr>
          <w:rFonts w:ascii="汉仪中黑简体" w:hAnsi="宋体" w:eastAsia="汉仪中黑简体"/>
          <w:color w:val="0000FF"/>
          <w:sz w:val="24"/>
          <w:szCs w:val="30"/>
        </w:rPr>
      </w:pPr>
      <w:r>
        <w:rPr>
          <w:rFonts w:hint="eastAsia" w:ascii="汉仪中黑简体" w:hAnsi="宋体" w:eastAsia="汉仪中黑简体"/>
          <w:color w:val="0000FF"/>
          <w:sz w:val="24"/>
          <w:szCs w:val="30"/>
        </w:rPr>
        <w:t>5、维保期内，发现电梯一周以内同一故障发生3次（招标方原因导致的除外），处当季应支付维保款项的千分之一。</w:t>
      </w:r>
    </w:p>
    <w:p>
      <w:pPr>
        <w:spacing w:line="360" w:lineRule="auto"/>
        <w:ind w:firstLine="480" w:firstLineChars="200"/>
        <w:rPr>
          <w:rFonts w:ascii="汉仪中黑简体" w:hAnsi="宋体" w:eastAsia="汉仪中黑简体"/>
          <w:color w:val="0000FF"/>
          <w:sz w:val="24"/>
          <w:szCs w:val="30"/>
        </w:rPr>
      </w:pPr>
      <w:r>
        <w:rPr>
          <w:rFonts w:hint="eastAsia" w:ascii="汉仪中黑简体" w:hAnsi="宋体" w:eastAsia="汉仪中黑简体"/>
          <w:color w:val="0000FF"/>
          <w:sz w:val="24"/>
          <w:szCs w:val="30"/>
        </w:rPr>
        <w:t>6、维保期内，电梯500以下零部件损坏后，中标方未在24小时内处理，处当季应支付维保款项的百分之一。</w:t>
      </w:r>
    </w:p>
    <w:p>
      <w:pPr>
        <w:spacing w:line="360" w:lineRule="auto"/>
        <w:ind w:firstLine="480" w:firstLineChars="200"/>
        <w:rPr>
          <w:rFonts w:ascii="汉仪中黑简体" w:hAnsi="宋体" w:eastAsia="汉仪中黑简体"/>
          <w:color w:val="0000FF"/>
          <w:sz w:val="24"/>
          <w:szCs w:val="30"/>
        </w:rPr>
      </w:pPr>
      <w:r>
        <w:rPr>
          <w:rFonts w:hint="eastAsia" w:ascii="汉仪中黑简体" w:hAnsi="宋体" w:eastAsia="汉仪中黑简体"/>
          <w:color w:val="0000FF"/>
          <w:sz w:val="24"/>
          <w:szCs w:val="30"/>
        </w:rPr>
        <w:t>7、维保期内，电梯大型零部件损坏后，中标方未响应表1的时间处理，处当季应支付维保款项的百分之一。</w:t>
      </w:r>
    </w:p>
    <w:p>
      <w:pPr>
        <w:spacing w:line="360" w:lineRule="auto"/>
        <w:ind w:firstLine="480" w:firstLineChars="200"/>
        <w:rPr>
          <w:rFonts w:ascii="汉仪中黑简体" w:hAnsi="宋体" w:eastAsia="汉仪中黑简体"/>
          <w:color w:val="0000FF"/>
          <w:sz w:val="24"/>
          <w:szCs w:val="30"/>
        </w:rPr>
      </w:pPr>
      <w:r>
        <w:rPr>
          <w:rFonts w:hint="eastAsia" w:ascii="汉仪中黑简体" w:hAnsi="宋体" w:eastAsia="汉仪中黑简体"/>
          <w:color w:val="0000FF"/>
          <w:sz w:val="24"/>
          <w:szCs w:val="30"/>
        </w:rPr>
        <w:t>8、如因乙方单方面违约原因造成合同无法继续的，乙方应向甲方支付合同总价50%的违约赔偿金。</w:t>
      </w:r>
      <w:r>
        <w:rPr>
          <w:rFonts w:ascii="汉仪中黑简体" w:hAnsi="宋体" w:eastAsia="汉仪中黑简体"/>
          <w:color w:val="0000FF"/>
          <w:sz w:val="24"/>
          <w:szCs w:val="30"/>
        </w:rPr>
        <w:t>给甲方造成损失的，若违约赔偿金不足以弥补甲方的损失，乙方还应就差额部分向甲方承担损害赔偿责任。</w:t>
      </w:r>
    </w:p>
    <w:p>
      <w:pPr>
        <w:spacing w:line="360" w:lineRule="auto"/>
        <w:ind w:firstLine="480" w:firstLineChars="200"/>
        <w:rPr>
          <w:rFonts w:ascii="汉仪中黑简体" w:hAnsi="宋体" w:eastAsia="汉仪中黑简体"/>
          <w:color w:val="0000FF"/>
          <w:sz w:val="24"/>
          <w:szCs w:val="30"/>
        </w:rPr>
      </w:pPr>
      <w:r>
        <w:rPr>
          <w:rFonts w:hint="eastAsia" w:ascii="汉仪中黑简体" w:hAnsi="宋体" w:eastAsia="汉仪中黑简体"/>
          <w:color w:val="0000FF"/>
          <w:sz w:val="24"/>
          <w:szCs w:val="30"/>
        </w:rPr>
        <w:t>9、乙方提供的应急人员24小时服务电话号码为唯一联系方式，乙方如有变更应书面通知甲方，否则，由此引起的一切责任全部由乙方承担。</w:t>
      </w:r>
    </w:p>
    <w:p>
      <w:pPr>
        <w:rPr>
          <w:rFonts w:ascii="汉仪中黑简体" w:hAnsi="宋体" w:eastAsia="汉仪中黑简体"/>
          <w:sz w:val="24"/>
          <w:szCs w:val="30"/>
        </w:rPr>
      </w:pPr>
    </w:p>
    <w:p>
      <w:pPr>
        <w:rPr>
          <w:b/>
          <w:sz w:val="24"/>
          <w:szCs w:val="24"/>
        </w:rPr>
      </w:pPr>
    </w:p>
    <w:p/>
    <w:p>
      <w:pPr>
        <w:spacing w:line="420" w:lineRule="exact"/>
        <w:ind w:firstLine="280" w:firstLineChars="100"/>
        <w:outlineLvl w:val="0"/>
      </w:pPr>
    </w:p>
    <w:p>
      <w:pPr>
        <w:spacing w:line="420" w:lineRule="exact"/>
        <w:ind w:firstLine="440" w:firstLineChars="100"/>
        <w:outlineLvl w:val="0"/>
        <w:rPr>
          <w:rFonts w:ascii="方正黑体_GBK" w:eastAsia="方正黑体_GBK"/>
          <w:sz w:val="44"/>
          <w:szCs w:val="28"/>
        </w:rPr>
      </w:pPr>
    </w:p>
    <w:p>
      <w:pPr>
        <w:spacing w:line="480" w:lineRule="exact"/>
        <w:ind w:firstLine="220" w:firstLineChars="50"/>
        <w:jc w:val="center"/>
        <w:outlineLvl w:val="0"/>
        <w:rPr>
          <w:rFonts w:ascii="方正小标宋_GBK" w:eastAsia="方正小标宋_GBK"/>
          <w:sz w:val="44"/>
          <w:szCs w:val="28"/>
        </w:rPr>
      </w:pPr>
    </w:p>
    <w:p/>
    <w:p/>
    <w:p/>
    <w:p/>
    <w:p/>
    <w:p/>
    <w:p/>
    <w:p/>
    <w:p/>
    <w:p/>
    <w:p/>
    <w:p/>
    <w:p/>
    <w:p>
      <w:pPr>
        <w:jc w:val="center"/>
        <w:rPr>
          <w:rFonts w:ascii="宋体" w:hAnsi="宋体" w:cs="仿宋"/>
          <w:b/>
          <w:bCs/>
          <w:sz w:val="36"/>
          <w:szCs w:val="36"/>
        </w:rPr>
      </w:pPr>
    </w:p>
    <w:p>
      <w:pPr>
        <w:jc w:val="center"/>
        <w:rPr>
          <w:rFonts w:ascii="宋体" w:hAnsi="宋体" w:cs="仿宋"/>
          <w:b/>
          <w:bCs/>
          <w:sz w:val="36"/>
          <w:szCs w:val="36"/>
        </w:rPr>
      </w:pPr>
    </w:p>
    <w:p>
      <w:pPr>
        <w:jc w:val="center"/>
        <w:rPr>
          <w:rFonts w:ascii="宋体" w:hAnsi="宋体" w:cs="仿宋"/>
          <w:b/>
          <w:bCs/>
          <w:sz w:val="36"/>
          <w:szCs w:val="36"/>
        </w:rPr>
      </w:pPr>
    </w:p>
    <w:p>
      <w:pPr>
        <w:jc w:val="center"/>
        <w:rPr>
          <w:rFonts w:ascii="宋体" w:hAnsi="宋体" w:cs="仿宋"/>
          <w:b/>
          <w:bCs/>
          <w:sz w:val="36"/>
          <w:szCs w:val="36"/>
        </w:rPr>
      </w:pPr>
    </w:p>
    <w:p>
      <w:pPr>
        <w:jc w:val="center"/>
        <w:rPr>
          <w:rFonts w:ascii="宋体" w:hAnsi="宋体" w:cs="仿宋"/>
          <w:b/>
          <w:bCs/>
          <w:sz w:val="36"/>
          <w:szCs w:val="36"/>
        </w:rPr>
      </w:pPr>
    </w:p>
    <w:p>
      <w:pPr>
        <w:jc w:val="center"/>
        <w:rPr>
          <w:rFonts w:hint="eastAsia" w:ascii="宋体" w:hAnsi="宋体" w:cs="仿宋"/>
          <w:b/>
          <w:bCs/>
          <w:sz w:val="36"/>
          <w:szCs w:val="36"/>
        </w:rPr>
      </w:pPr>
    </w:p>
    <w:p>
      <w:pPr>
        <w:jc w:val="center"/>
        <w:rPr>
          <w:rFonts w:hint="eastAsia" w:ascii="宋体" w:hAnsi="宋体" w:cs="仿宋"/>
          <w:b/>
          <w:bCs/>
          <w:sz w:val="36"/>
          <w:szCs w:val="36"/>
        </w:rPr>
      </w:pPr>
    </w:p>
    <w:p>
      <w:pPr>
        <w:jc w:val="center"/>
        <w:rPr>
          <w:rFonts w:hint="eastAsia" w:ascii="宋体" w:hAnsi="宋体" w:cs="仿宋"/>
          <w:b/>
          <w:bCs/>
          <w:sz w:val="36"/>
          <w:szCs w:val="36"/>
        </w:rPr>
      </w:pPr>
    </w:p>
    <w:p>
      <w:pPr>
        <w:jc w:val="center"/>
        <w:rPr>
          <w:rFonts w:hint="eastAsia" w:ascii="宋体" w:hAnsi="宋体" w:cs="仿宋"/>
          <w:b/>
          <w:bCs/>
          <w:sz w:val="36"/>
          <w:szCs w:val="36"/>
        </w:rPr>
      </w:pPr>
    </w:p>
    <w:p>
      <w:pPr>
        <w:jc w:val="center"/>
        <w:rPr>
          <w:rFonts w:hint="eastAsia" w:ascii="宋体" w:hAnsi="宋体" w:cs="仿宋"/>
          <w:b/>
          <w:bCs/>
          <w:sz w:val="36"/>
          <w:szCs w:val="36"/>
        </w:rPr>
      </w:pPr>
    </w:p>
    <w:p>
      <w:pPr>
        <w:jc w:val="center"/>
        <w:rPr>
          <w:rFonts w:hint="eastAsia" w:ascii="宋体" w:hAnsi="宋体" w:cs="仿宋"/>
          <w:b/>
          <w:bCs/>
          <w:sz w:val="36"/>
          <w:szCs w:val="36"/>
        </w:rPr>
      </w:pPr>
    </w:p>
    <w:p>
      <w:pPr>
        <w:jc w:val="center"/>
        <w:rPr>
          <w:rFonts w:hint="eastAsia" w:ascii="宋体" w:hAnsi="宋体" w:cs="仿宋"/>
          <w:b/>
          <w:bCs/>
          <w:sz w:val="36"/>
          <w:szCs w:val="36"/>
        </w:rPr>
      </w:pPr>
    </w:p>
    <w:p>
      <w:pPr>
        <w:jc w:val="center"/>
        <w:rPr>
          <w:rFonts w:hint="eastAsia" w:ascii="宋体" w:hAnsi="宋体" w:cs="仿宋"/>
          <w:b/>
          <w:bCs/>
          <w:sz w:val="36"/>
          <w:szCs w:val="36"/>
        </w:rPr>
      </w:pPr>
    </w:p>
    <w:p>
      <w:pPr>
        <w:jc w:val="center"/>
        <w:rPr>
          <w:rFonts w:hint="eastAsia" w:ascii="宋体" w:hAnsi="宋体" w:cs="仿宋"/>
          <w:b/>
          <w:bCs/>
          <w:sz w:val="36"/>
          <w:szCs w:val="36"/>
        </w:rPr>
      </w:pPr>
    </w:p>
    <w:p>
      <w:pPr>
        <w:jc w:val="center"/>
        <w:rPr>
          <w:rFonts w:ascii="宋体" w:hAnsi="宋体" w:cs="仿宋"/>
          <w:b/>
          <w:bCs/>
          <w:sz w:val="36"/>
          <w:szCs w:val="36"/>
        </w:rPr>
      </w:pPr>
    </w:p>
    <w:p>
      <w:pPr>
        <w:jc w:val="center"/>
        <w:rPr>
          <w:rFonts w:ascii="宋体" w:hAnsi="宋体" w:cs="仿宋"/>
          <w:b/>
          <w:bCs/>
          <w:sz w:val="36"/>
          <w:szCs w:val="36"/>
        </w:rPr>
      </w:pPr>
      <w:r>
        <w:rPr>
          <w:rFonts w:hint="eastAsia" w:ascii="宋体" w:hAnsi="宋体" w:cs="仿宋"/>
          <w:b/>
          <w:bCs/>
          <w:sz w:val="36"/>
          <w:szCs w:val="36"/>
        </w:rPr>
        <w:t>第三篇  项目商务要求</w:t>
      </w:r>
    </w:p>
    <w:p>
      <w:pPr>
        <w:pStyle w:val="3"/>
        <w:spacing w:before="0" w:after="0" w:line="440" w:lineRule="exact"/>
        <w:rPr>
          <w:rFonts w:ascii="黑体" w:hAnsi="宋体" w:eastAsia="黑体"/>
          <w:color w:val="000000"/>
          <w:sz w:val="24"/>
          <w:szCs w:val="24"/>
        </w:rPr>
      </w:pPr>
      <w:bookmarkStart w:id="15" w:name="_Toc344475120"/>
      <w:bookmarkStart w:id="16" w:name="_Toc415471837"/>
      <w:r>
        <w:rPr>
          <w:rFonts w:hint="eastAsia" w:ascii="黑体" w:hAnsi="宋体" w:eastAsia="黑体"/>
          <w:color w:val="000000"/>
          <w:sz w:val="24"/>
          <w:szCs w:val="24"/>
        </w:rPr>
        <w:t>一、服务时间、地点及验收方式</w:t>
      </w:r>
      <w:bookmarkEnd w:id="15"/>
      <w:bookmarkEnd w:id="16"/>
    </w:p>
    <w:p>
      <w:pPr>
        <w:pStyle w:val="8"/>
        <w:spacing w:line="400" w:lineRule="exact"/>
        <w:ind w:firstLine="240" w:firstLineChars="100"/>
        <w:rPr>
          <w:rFonts w:ascii="黑体" w:hAnsi="宋体" w:eastAsia="黑体"/>
          <w:color w:val="000000"/>
          <w:sz w:val="24"/>
          <w:szCs w:val="24"/>
        </w:rPr>
      </w:pPr>
      <w:r>
        <w:rPr>
          <w:rFonts w:hint="eastAsia" w:ascii="黑体" w:hAnsi="宋体" w:eastAsia="黑体"/>
          <w:color w:val="000000"/>
          <w:sz w:val="24"/>
          <w:szCs w:val="24"/>
        </w:rPr>
        <w:t>（一）服务时间</w:t>
      </w:r>
    </w:p>
    <w:p>
      <w:pPr>
        <w:pStyle w:val="5"/>
        <w:spacing w:line="560" w:lineRule="exact"/>
        <w:ind w:firstLine="240" w:firstLineChars="100"/>
        <w:rPr>
          <w:rFonts w:ascii="黑体" w:hAnsi="宋体" w:eastAsia="黑体"/>
          <w:color w:val="000000"/>
          <w:sz w:val="24"/>
          <w:szCs w:val="24"/>
        </w:rPr>
      </w:pPr>
      <w:r>
        <w:rPr>
          <w:rFonts w:hint="eastAsia" w:ascii="黑体" w:hAnsi="宋体" w:eastAsia="黑体"/>
          <w:color w:val="000000"/>
          <w:sz w:val="24"/>
          <w:szCs w:val="24"/>
        </w:rPr>
        <w:t>合同签订后壹年。合同期满后，经采购人考核合格，采购人可按照中标金额及要求与中标人续签合同</w:t>
      </w:r>
      <w:r>
        <w:rPr>
          <w:rFonts w:ascii="黑体" w:hAnsi="宋体" w:eastAsia="黑体"/>
          <w:color w:val="000000"/>
          <w:sz w:val="24"/>
          <w:szCs w:val="24"/>
        </w:rPr>
        <w:t xml:space="preserve">, </w:t>
      </w:r>
      <w:r>
        <w:rPr>
          <w:rFonts w:hint="eastAsia" w:ascii="黑体" w:hAnsi="宋体" w:eastAsia="黑体"/>
          <w:color w:val="000000"/>
          <w:sz w:val="24"/>
          <w:szCs w:val="24"/>
        </w:rPr>
        <w:t>但续签年限不超过</w:t>
      </w:r>
      <w:r>
        <w:rPr>
          <w:rFonts w:ascii="黑体" w:hAnsi="宋体" w:eastAsia="黑体"/>
          <w:color w:val="000000"/>
          <w:sz w:val="24"/>
          <w:szCs w:val="24"/>
        </w:rPr>
        <w:t>2</w:t>
      </w:r>
      <w:r>
        <w:rPr>
          <w:rFonts w:hint="eastAsia" w:ascii="黑体" w:hAnsi="宋体" w:eastAsia="黑体"/>
          <w:color w:val="000000"/>
          <w:sz w:val="24"/>
          <w:szCs w:val="24"/>
        </w:rPr>
        <w:t>年。</w:t>
      </w:r>
    </w:p>
    <w:p>
      <w:pPr>
        <w:pStyle w:val="5"/>
        <w:spacing w:line="560" w:lineRule="exact"/>
        <w:ind w:firstLine="240" w:firstLineChars="100"/>
        <w:rPr>
          <w:rFonts w:ascii="黑体" w:hAnsi="宋体" w:eastAsia="黑体"/>
          <w:color w:val="000000"/>
          <w:sz w:val="24"/>
          <w:szCs w:val="24"/>
        </w:rPr>
      </w:pPr>
      <w:r>
        <w:rPr>
          <w:rFonts w:hint="eastAsia" w:ascii="黑体" w:hAnsi="宋体" w:eastAsia="黑体"/>
          <w:color w:val="000000"/>
          <w:sz w:val="24"/>
          <w:szCs w:val="24"/>
        </w:rPr>
        <w:t>（二）电梯维保服务范围及地点</w:t>
      </w:r>
    </w:p>
    <w:p>
      <w:pPr>
        <w:spacing w:line="400" w:lineRule="exact"/>
        <w:ind w:firstLine="240" w:firstLineChars="100"/>
        <w:rPr>
          <w:rFonts w:ascii="黑体" w:hAnsi="宋体" w:eastAsia="黑体"/>
          <w:color w:val="000000"/>
          <w:sz w:val="24"/>
          <w:szCs w:val="24"/>
          <w:u w:val="single"/>
        </w:rPr>
      </w:pPr>
      <w:r>
        <w:rPr>
          <w:rFonts w:hint="eastAsia" w:ascii="黑体" w:hAnsi="宋体" w:eastAsia="黑体"/>
          <w:color w:val="000000"/>
          <w:sz w:val="24"/>
          <w:szCs w:val="24"/>
        </w:rPr>
        <w:t>重庆市江北区中医院康复大楼电梯、扶梯。</w:t>
      </w:r>
    </w:p>
    <w:p>
      <w:pPr>
        <w:spacing w:line="400" w:lineRule="exact"/>
        <w:ind w:firstLine="240" w:firstLineChars="100"/>
        <w:rPr>
          <w:rFonts w:ascii="黑体" w:hAnsi="宋体" w:eastAsia="黑体"/>
          <w:color w:val="000000"/>
          <w:sz w:val="24"/>
          <w:szCs w:val="24"/>
        </w:rPr>
      </w:pPr>
      <w:r>
        <w:rPr>
          <w:rFonts w:hint="eastAsia" w:ascii="黑体" w:hAnsi="宋体" w:eastAsia="黑体"/>
          <w:color w:val="000000"/>
          <w:sz w:val="24"/>
          <w:szCs w:val="24"/>
        </w:rPr>
        <w:t>（三）验收方式</w:t>
      </w:r>
    </w:p>
    <w:p>
      <w:pPr>
        <w:spacing w:line="400" w:lineRule="exact"/>
        <w:ind w:firstLine="480" w:firstLineChars="200"/>
        <w:rPr>
          <w:rFonts w:ascii="黑体" w:hAnsi="宋体" w:eastAsia="黑体"/>
          <w:color w:val="000000"/>
          <w:sz w:val="24"/>
        </w:rPr>
      </w:pPr>
      <w:r>
        <w:rPr>
          <w:rFonts w:hint="eastAsia" w:ascii="黑体" w:eastAsia="黑体"/>
          <w:color w:val="000000"/>
          <w:sz w:val="24"/>
        </w:rPr>
        <w:t>1、</w:t>
      </w:r>
      <w:r>
        <w:rPr>
          <w:rFonts w:hint="eastAsia" w:ascii="黑体" w:hAnsi="宋体" w:eastAsia="黑体"/>
          <w:color w:val="000000"/>
          <w:sz w:val="24"/>
          <w:szCs w:val="24"/>
        </w:rPr>
        <w:t>对于维保范围内项目，在维保期内由采购人代表对电梯进行随机抽查，核实，并进行电梯试验，严格按照“电梯维保服务要求”进行验收。</w:t>
      </w:r>
    </w:p>
    <w:p>
      <w:pPr>
        <w:pStyle w:val="3"/>
        <w:spacing w:before="0" w:after="0" w:line="560" w:lineRule="exact"/>
        <w:ind w:firstLine="480" w:firstLineChars="200"/>
        <w:rPr>
          <w:rFonts w:ascii="黑体" w:hAnsi="宋体" w:eastAsia="黑体"/>
          <w:b w:val="0"/>
          <w:bCs w:val="0"/>
          <w:color w:val="000000"/>
          <w:sz w:val="24"/>
          <w:szCs w:val="24"/>
        </w:rPr>
      </w:pPr>
      <w:r>
        <w:rPr>
          <w:rFonts w:hint="eastAsia" w:ascii="黑体" w:hAnsi="宋体" w:eastAsia="黑体"/>
          <w:b w:val="0"/>
          <w:bCs w:val="0"/>
          <w:color w:val="000000"/>
          <w:sz w:val="24"/>
          <w:szCs w:val="24"/>
        </w:rPr>
        <w:t>2、由采购人组织相关部门和专业技术人员按签订的合同进行验收。</w:t>
      </w:r>
    </w:p>
    <w:p>
      <w:pPr>
        <w:pStyle w:val="3"/>
        <w:spacing w:before="0" w:after="0" w:line="400" w:lineRule="exact"/>
        <w:rPr>
          <w:rFonts w:ascii="黑体" w:hAnsi="宋体" w:eastAsia="黑体"/>
          <w:color w:val="000000"/>
          <w:sz w:val="24"/>
          <w:szCs w:val="24"/>
        </w:rPr>
      </w:pPr>
      <w:bookmarkStart w:id="17" w:name="_Toc344475122"/>
      <w:bookmarkStart w:id="18" w:name="_Toc415471838"/>
      <w:r>
        <w:rPr>
          <w:rFonts w:hint="eastAsia" w:ascii="黑体" w:hAnsi="宋体" w:eastAsia="黑体"/>
          <w:color w:val="000000"/>
          <w:sz w:val="24"/>
          <w:szCs w:val="24"/>
        </w:rPr>
        <w:t>二、付款方式</w:t>
      </w:r>
      <w:bookmarkEnd w:id="17"/>
      <w:bookmarkEnd w:id="18"/>
    </w:p>
    <w:p>
      <w:pPr>
        <w:spacing w:line="420" w:lineRule="exact"/>
        <w:ind w:firstLine="480" w:firstLineChars="200"/>
        <w:rPr>
          <w:rFonts w:ascii="黑体" w:hAnsi="宋体" w:eastAsia="黑体"/>
          <w:color w:val="0000FF"/>
          <w:sz w:val="24"/>
          <w:szCs w:val="24"/>
        </w:rPr>
      </w:pPr>
      <w:r>
        <w:rPr>
          <w:rFonts w:hint="eastAsia" w:ascii="黑体" w:hAnsi="宋体" w:eastAsia="黑体"/>
          <w:color w:val="0000FF"/>
          <w:sz w:val="24"/>
          <w:szCs w:val="24"/>
        </w:rPr>
        <w:t>1．合同签订前，成交供应商须向采购人提交中标金额5%的履约保证金。</w:t>
      </w:r>
    </w:p>
    <w:p>
      <w:pPr>
        <w:pStyle w:val="29"/>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2．一年内分期付款，合同签订进场后，以维保服务进度满半年支付全部款项的50%。进度款支付条件：在维保服务期间，维保服务商提供服务未违反招标要求以及合同约定且验收合格。合同期满，验收合格，15个工作日内支付当年全部余款（如当年有扣款的，则从应付合同款中直接扣除）。</w:t>
      </w:r>
    </w:p>
    <w:p>
      <w:pPr>
        <w:pStyle w:val="3"/>
        <w:spacing w:before="0" w:after="0" w:line="400" w:lineRule="exact"/>
        <w:rPr>
          <w:rFonts w:ascii="黑体" w:hAnsi="宋体" w:eastAsia="黑体"/>
          <w:color w:val="000000"/>
          <w:sz w:val="24"/>
          <w:szCs w:val="24"/>
        </w:rPr>
      </w:pPr>
      <w:bookmarkStart w:id="19" w:name="_Toc344475123"/>
      <w:bookmarkStart w:id="20" w:name="_Toc415471839"/>
      <w:r>
        <w:rPr>
          <w:rFonts w:hint="eastAsia" w:ascii="黑体" w:hAnsi="宋体" w:eastAsia="黑体"/>
          <w:color w:val="000000"/>
          <w:sz w:val="24"/>
          <w:szCs w:val="24"/>
        </w:rPr>
        <w:t>三、知识产权</w:t>
      </w:r>
      <w:bookmarkEnd w:id="19"/>
      <w:bookmarkEnd w:id="20"/>
    </w:p>
    <w:p>
      <w:pPr>
        <w:snapToGrid w:val="0"/>
        <w:spacing w:line="400" w:lineRule="exact"/>
        <w:ind w:firstLine="540"/>
        <w:rPr>
          <w:rFonts w:ascii="黑体" w:hAnsi="宋体" w:eastAsia="黑体"/>
          <w:color w:val="000000"/>
          <w:sz w:val="24"/>
          <w:szCs w:val="24"/>
        </w:rPr>
      </w:pPr>
      <w:r>
        <w:rPr>
          <w:rFonts w:hint="eastAsia" w:ascii="黑体" w:hAnsi="宋体" w:eastAsia="黑体"/>
          <w:color w:val="00000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00" w:lineRule="exact"/>
        <w:rPr>
          <w:rFonts w:ascii="黑体" w:hAnsi="宋体" w:eastAsia="黑体"/>
          <w:color w:val="000000"/>
          <w:sz w:val="24"/>
          <w:szCs w:val="24"/>
        </w:rPr>
      </w:pPr>
      <w:r>
        <w:rPr>
          <w:rFonts w:hint="eastAsia" w:ascii="黑体" w:hAnsi="宋体" w:eastAsia="黑体"/>
          <w:color w:val="000000"/>
          <w:sz w:val="24"/>
          <w:szCs w:val="24"/>
        </w:rPr>
        <w:t>（注：若涉及软件开发等服务类项目知识产权的，知识产权归采购人所有）。</w:t>
      </w:r>
    </w:p>
    <w:p>
      <w:pPr>
        <w:pStyle w:val="3"/>
        <w:spacing w:before="0" w:after="0" w:line="400" w:lineRule="exact"/>
        <w:rPr>
          <w:rFonts w:ascii="黑体" w:hAnsi="宋体" w:eastAsia="黑体"/>
          <w:color w:val="000000"/>
          <w:sz w:val="24"/>
          <w:szCs w:val="24"/>
        </w:rPr>
      </w:pPr>
      <w:bookmarkStart w:id="21" w:name="_Toc344475124"/>
      <w:bookmarkStart w:id="22" w:name="_Toc415471840"/>
      <w:r>
        <w:rPr>
          <w:rFonts w:hint="eastAsia" w:ascii="黑体" w:hAnsi="宋体" w:eastAsia="黑体"/>
          <w:color w:val="000000"/>
          <w:sz w:val="24"/>
          <w:szCs w:val="24"/>
        </w:rPr>
        <w:t>四、培训</w:t>
      </w:r>
      <w:bookmarkEnd w:id="21"/>
      <w:bookmarkEnd w:id="22"/>
    </w:p>
    <w:p>
      <w:pPr>
        <w:snapToGrid w:val="0"/>
        <w:spacing w:line="400" w:lineRule="exact"/>
        <w:ind w:firstLine="540"/>
        <w:rPr>
          <w:rFonts w:ascii="黑体" w:hAnsi="宋体" w:eastAsia="黑体"/>
          <w:color w:val="000000"/>
          <w:sz w:val="24"/>
          <w:szCs w:val="24"/>
        </w:rPr>
      </w:pPr>
      <w:r>
        <w:rPr>
          <w:rFonts w:hint="eastAsia" w:ascii="黑体" w:hAnsi="宋体" w:eastAsia="黑体"/>
          <w:color w:val="000000"/>
          <w:sz w:val="24"/>
          <w:szCs w:val="24"/>
        </w:rPr>
        <w:t>成交供应商应免费进行现场培训，直到用户有关人员可以正常使用操作各电梯。</w:t>
      </w:r>
    </w:p>
    <w:p>
      <w:pPr>
        <w:pStyle w:val="3"/>
        <w:spacing w:before="0" w:after="0" w:line="400" w:lineRule="exact"/>
        <w:rPr>
          <w:rFonts w:ascii="黑体" w:hAnsi="宋体" w:eastAsia="黑体"/>
          <w:color w:val="000000"/>
          <w:sz w:val="24"/>
          <w:szCs w:val="24"/>
        </w:rPr>
      </w:pPr>
      <w:bookmarkStart w:id="23" w:name="_Toc415471842"/>
      <w:r>
        <w:rPr>
          <w:rFonts w:hint="eastAsia" w:ascii="黑体" w:hAnsi="宋体" w:eastAsia="黑体"/>
          <w:color w:val="000000"/>
          <w:sz w:val="24"/>
          <w:szCs w:val="24"/>
        </w:rPr>
        <w:t>五、</w:t>
      </w:r>
      <w:bookmarkStart w:id="24" w:name="_Toc344475125"/>
      <w:r>
        <w:rPr>
          <w:rFonts w:hint="eastAsia" w:ascii="黑体" w:hAnsi="宋体" w:eastAsia="黑体"/>
          <w:color w:val="000000"/>
          <w:sz w:val="24"/>
          <w:szCs w:val="24"/>
        </w:rPr>
        <w:t>其他</w:t>
      </w:r>
      <w:bookmarkEnd w:id="23"/>
    </w:p>
    <w:bookmarkEnd w:id="24"/>
    <w:p>
      <w:pPr>
        <w:snapToGrid w:val="0"/>
        <w:spacing w:line="400" w:lineRule="exact"/>
        <w:ind w:firstLine="540"/>
        <w:rPr>
          <w:rFonts w:ascii="黑体" w:hAnsi="宋体" w:eastAsia="黑体"/>
          <w:color w:val="000000"/>
          <w:sz w:val="24"/>
          <w:szCs w:val="24"/>
        </w:rPr>
      </w:pPr>
      <w:r>
        <w:rPr>
          <w:rFonts w:hint="eastAsia" w:ascii="黑体" w:hAnsi="宋体" w:eastAsia="黑体"/>
          <w:color w:val="000000"/>
          <w:sz w:val="24"/>
          <w:szCs w:val="24"/>
        </w:rPr>
        <w:t>（一）供应商必须在响应文件中对以上条款和服务承诺明确列出，承诺内容必须达到本篇及竞争性磋商其他条款的要求。</w:t>
      </w:r>
    </w:p>
    <w:p>
      <w:pPr>
        <w:snapToGrid w:val="0"/>
        <w:spacing w:line="400" w:lineRule="exact"/>
        <w:ind w:firstLine="540"/>
        <w:rPr>
          <w:rFonts w:ascii="黑体" w:eastAsia="黑体"/>
          <w:color w:val="000000"/>
          <w:sz w:val="24"/>
          <w:szCs w:val="24"/>
        </w:rPr>
      </w:pPr>
      <w:r>
        <w:rPr>
          <w:rFonts w:hint="eastAsia" w:ascii="黑体" w:hAnsi="宋体" w:eastAsia="黑体"/>
          <w:color w:val="000000"/>
          <w:sz w:val="24"/>
          <w:szCs w:val="24"/>
        </w:rPr>
        <w:t>（二）其他未尽事宜由供需双方在采购合同中详细约定。</w:t>
      </w:r>
    </w:p>
    <w:p/>
    <w:p>
      <w:pPr>
        <w:jc w:val="center"/>
        <w:rPr>
          <w:rFonts w:ascii="宋体" w:hAnsi="宋体" w:cs="仿宋"/>
          <w:b/>
          <w:bCs/>
          <w:sz w:val="36"/>
          <w:szCs w:val="36"/>
        </w:rPr>
      </w:pPr>
      <w:bookmarkStart w:id="25" w:name="_Toc12973747"/>
    </w:p>
    <w:p>
      <w:pPr>
        <w:jc w:val="center"/>
        <w:rPr>
          <w:rFonts w:ascii="宋体" w:hAnsi="宋体" w:cs="仿宋"/>
          <w:b/>
          <w:bCs/>
          <w:sz w:val="36"/>
          <w:szCs w:val="36"/>
        </w:rPr>
      </w:pPr>
    </w:p>
    <w:p>
      <w:pPr>
        <w:jc w:val="center"/>
        <w:rPr>
          <w:rFonts w:ascii="宋体" w:hAnsi="宋体" w:cs="仿宋"/>
          <w:b/>
          <w:bCs/>
          <w:sz w:val="36"/>
          <w:szCs w:val="36"/>
        </w:rPr>
      </w:pPr>
    </w:p>
    <w:p>
      <w:pPr>
        <w:jc w:val="center"/>
      </w:pPr>
      <w:r>
        <w:rPr>
          <w:rFonts w:hint="eastAsia" w:ascii="宋体" w:hAnsi="宋体" w:cs="仿宋"/>
          <w:b/>
          <w:bCs/>
          <w:sz w:val="36"/>
          <w:szCs w:val="36"/>
        </w:rPr>
        <w:t>第四篇  资格审查及评标办法</w:t>
      </w:r>
      <w:bookmarkEnd w:id="25"/>
    </w:p>
    <w:p>
      <w:pPr>
        <w:spacing w:line="360" w:lineRule="auto"/>
        <w:rPr>
          <w:b/>
          <w:sz w:val="24"/>
          <w:szCs w:val="24"/>
        </w:rPr>
      </w:pPr>
      <w:r>
        <w:rPr>
          <w:rFonts w:hint="eastAsia"/>
          <w:b/>
          <w:sz w:val="24"/>
          <w:szCs w:val="24"/>
        </w:rPr>
        <w:t>一、资格审查</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依据政府采购相关法律法规规定,由采购人或采购代理机构对投标文件中的资格证明文件进行审查。资格审查资料表如下：</w:t>
      </w:r>
    </w:p>
    <w:tbl>
      <w:tblPr>
        <w:tblStyle w:val="14"/>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10"/>
        <w:gridCol w:w="3190"/>
        <w:gridCol w:w="4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8" w:type="dxa"/>
            <w:vAlign w:val="center"/>
          </w:tcPr>
          <w:p>
            <w:pPr>
              <w:jc w:val="center"/>
              <w:rPr>
                <w:rFonts w:ascii="宋体" w:hAnsi="宋体" w:cs="仿宋"/>
                <w:b/>
                <w:sz w:val="21"/>
                <w:szCs w:val="21"/>
                <w:lang w:val="zh-CN"/>
              </w:rPr>
            </w:pPr>
            <w:r>
              <w:rPr>
                <w:rFonts w:hint="eastAsia" w:ascii="宋体" w:hAnsi="宋体" w:cs="仿宋"/>
                <w:b/>
                <w:sz w:val="21"/>
                <w:szCs w:val="21"/>
                <w:lang w:val="zh-CN"/>
              </w:rPr>
              <w:t>序号</w:t>
            </w:r>
          </w:p>
        </w:tc>
        <w:tc>
          <w:tcPr>
            <w:tcW w:w="3900" w:type="dxa"/>
            <w:gridSpan w:val="2"/>
            <w:vAlign w:val="center"/>
          </w:tcPr>
          <w:p>
            <w:pPr>
              <w:jc w:val="center"/>
              <w:rPr>
                <w:rFonts w:ascii="宋体" w:hAnsi="宋体" w:cs="仿宋"/>
                <w:b/>
                <w:sz w:val="21"/>
                <w:szCs w:val="21"/>
                <w:lang w:val="zh-CN"/>
              </w:rPr>
            </w:pPr>
            <w:r>
              <w:rPr>
                <w:rFonts w:hint="eastAsia" w:ascii="宋体" w:hAnsi="宋体" w:cs="仿宋"/>
                <w:b/>
                <w:sz w:val="21"/>
                <w:szCs w:val="21"/>
                <w:lang w:val="zh-CN"/>
              </w:rPr>
              <w:t>检查因素</w:t>
            </w:r>
          </w:p>
        </w:tc>
        <w:tc>
          <w:tcPr>
            <w:tcW w:w="4419" w:type="dxa"/>
            <w:vAlign w:val="center"/>
          </w:tcPr>
          <w:p>
            <w:pPr>
              <w:jc w:val="center"/>
              <w:rPr>
                <w:rFonts w:ascii="宋体" w:hAnsi="宋体" w:cs="仿宋"/>
                <w:b/>
                <w:sz w:val="21"/>
                <w:szCs w:val="21"/>
                <w:lang w:val="zh-CN"/>
              </w:rPr>
            </w:pPr>
            <w:r>
              <w:rPr>
                <w:rFonts w:hint="eastAsia" w:ascii="宋体" w:hAnsi="宋体" w:cs="仿宋"/>
                <w:b/>
                <w:sz w:val="21"/>
                <w:szCs w:val="21"/>
                <w:lang w:val="zh-CN"/>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restart"/>
            <w:vAlign w:val="center"/>
          </w:tcPr>
          <w:p>
            <w:pPr>
              <w:jc w:val="center"/>
              <w:rPr>
                <w:rFonts w:ascii="宋体" w:hAnsi="宋体" w:cs="仿宋"/>
                <w:sz w:val="21"/>
                <w:szCs w:val="21"/>
                <w:lang w:val="zh-CN"/>
              </w:rPr>
            </w:pPr>
            <w:r>
              <w:rPr>
                <w:rFonts w:hint="eastAsia" w:ascii="宋体" w:hAnsi="宋体" w:cs="仿宋"/>
                <w:sz w:val="21"/>
                <w:szCs w:val="21"/>
                <w:lang w:val="zh-CN"/>
              </w:rPr>
              <w:t>1</w:t>
            </w:r>
          </w:p>
        </w:tc>
        <w:tc>
          <w:tcPr>
            <w:tcW w:w="710" w:type="dxa"/>
            <w:vMerge w:val="restart"/>
            <w:vAlign w:val="center"/>
          </w:tcPr>
          <w:p>
            <w:pPr>
              <w:rPr>
                <w:rFonts w:ascii="宋体" w:hAnsi="宋体" w:cs="仿宋"/>
                <w:sz w:val="21"/>
                <w:szCs w:val="21"/>
                <w:lang w:val="zh-CN"/>
              </w:rPr>
            </w:pPr>
            <w:r>
              <w:rPr>
                <w:rFonts w:hint="eastAsia" w:ascii="宋体" w:hAnsi="宋体" w:cs="仿宋"/>
                <w:sz w:val="21"/>
                <w:szCs w:val="21"/>
                <w:lang w:val="zh-CN"/>
              </w:rPr>
              <w:t>投标人应符合的基本资格条件</w:t>
            </w:r>
          </w:p>
        </w:tc>
        <w:tc>
          <w:tcPr>
            <w:tcW w:w="3190" w:type="dxa"/>
            <w:vAlign w:val="center"/>
          </w:tcPr>
          <w:p>
            <w:pPr>
              <w:rPr>
                <w:rFonts w:ascii="宋体" w:hAnsi="宋体" w:cs="仿宋"/>
                <w:sz w:val="21"/>
                <w:szCs w:val="21"/>
                <w:lang w:val="zh-CN"/>
              </w:rPr>
            </w:pPr>
            <w:r>
              <w:rPr>
                <w:rFonts w:hint="eastAsia" w:ascii="宋体" w:hAnsi="宋体" w:cs="仿宋"/>
                <w:sz w:val="21"/>
                <w:szCs w:val="21"/>
                <w:lang w:val="zh-CN"/>
              </w:rPr>
              <w:t>（1）具有独立承担民事责任的能力</w:t>
            </w:r>
          </w:p>
        </w:tc>
        <w:tc>
          <w:tcPr>
            <w:tcW w:w="4419" w:type="dxa"/>
            <w:vAlign w:val="center"/>
          </w:tcPr>
          <w:p>
            <w:pPr>
              <w:snapToGrid w:val="0"/>
              <w:rPr>
                <w:rFonts w:ascii="宋体" w:hAnsi="宋体" w:cs="仿宋"/>
                <w:sz w:val="21"/>
                <w:szCs w:val="21"/>
                <w:lang w:val="zh-CN"/>
              </w:rPr>
            </w:pPr>
            <w:r>
              <w:rPr>
                <w:rFonts w:hint="eastAsia" w:ascii="宋体" w:hAnsi="宋体" w:cs="仿宋"/>
                <w:sz w:val="21"/>
                <w:szCs w:val="21"/>
                <w:lang w:val="zh-CN"/>
              </w:rPr>
              <w:t>投标人法人营业执照（副本）或事业单位法人证书（副本）或个体工商户营业执照或有效的自然人身份证明、组织机构代码证复印件（注</w:t>
            </w:r>
            <w:r>
              <w:rPr>
                <w:rFonts w:hint="eastAsia" w:ascii="宋体" w:hAnsi="宋体" w:cs="仿宋"/>
                <w:sz w:val="21"/>
                <w:szCs w:val="21"/>
                <w:lang w:val="zh-CN"/>
              </w:rPr>
              <w:fldChar w:fldCharType="begin"/>
            </w:r>
            <w:r>
              <w:rPr>
                <w:rFonts w:hint="eastAsia" w:ascii="宋体" w:hAnsi="宋体" w:cs="仿宋"/>
                <w:sz w:val="21"/>
                <w:szCs w:val="21"/>
                <w:lang w:val="zh-CN"/>
              </w:rPr>
              <w:instrText xml:space="preserve"> eq \o\ac(○,2)</w:instrText>
            </w:r>
            <w:r>
              <w:rPr>
                <w:rFonts w:hint="eastAsia" w:ascii="宋体" w:hAnsi="宋体" w:cs="仿宋"/>
                <w:sz w:val="21"/>
                <w:szCs w:val="21"/>
                <w:lang w:val="zh-CN"/>
              </w:rPr>
              <w:fldChar w:fldCharType="end"/>
            </w:r>
            <w:r>
              <w:rPr>
                <w:rFonts w:hint="eastAsia" w:ascii="宋体" w:hAnsi="宋体" w:cs="仿宋"/>
                <w:sz w:val="21"/>
                <w:szCs w:val="21"/>
                <w:lang w:val="zh-CN"/>
              </w:rPr>
              <w:t xml:space="preserve">）； </w:t>
            </w:r>
          </w:p>
          <w:p>
            <w:pPr>
              <w:snapToGrid w:val="0"/>
              <w:rPr>
                <w:rFonts w:ascii="宋体" w:hAnsi="宋体" w:cs="仿宋"/>
                <w:sz w:val="21"/>
                <w:szCs w:val="21"/>
                <w:lang w:val="zh-CN"/>
              </w:rPr>
            </w:pPr>
            <w:r>
              <w:rPr>
                <w:rFonts w:hint="eastAsia" w:ascii="宋体" w:hAnsi="宋体" w:cs="仿宋"/>
                <w:sz w:val="21"/>
                <w:szCs w:val="21"/>
                <w:lang w:val="zh-CN"/>
              </w:rPr>
              <w:t>投标人法定代表人身份证明和法定代表人授权代表委托书。</w:t>
            </w:r>
          </w:p>
          <w:p>
            <w:pPr>
              <w:snapToGrid w:val="0"/>
              <w:rPr>
                <w:rFonts w:ascii="宋体" w:hAnsi="宋体" w:cs="仿宋"/>
                <w:sz w:val="21"/>
                <w:szCs w:val="21"/>
                <w:lang w:val="zh-CN"/>
              </w:rPr>
            </w:pPr>
            <w:r>
              <w:rPr>
                <w:rFonts w:hint="eastAsia" w:ascii="宋体" w:hAnsi="宋体" w:cs="仿宋"/>
                <w:sz w:val="21"/>
                <w:szCs w:val="21"/>
                <w:lang w:val="zh-CN"/>
              </w:rPr>
              <w:t>不具有独立法人的分公司、办事处等分支机构不能参加投标。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pPr>
              <w:jc w:val="center"/>
              <w:rPr>
                <w:rFonts w:ascii="宋体" w:hAnsi="宋体" w:cs="仿宋"/>
                <w:sz w:val="21"/>
                <w:szCs w:val="21"/>
                <w:lang w:val="zh-CN"/>
              </w:rPr>
            </w:pPr>
          </w:p>
        </w:tc>
        <w:tc>
          <w:tcPr>
            <w:tcW w:w="710" w:type="dxa"/>
            <w:vMerge w:val="continue"/>
            <w:vAlign w:val="center"/>
          </w:tcPr>
          <w:p>
            <w:pPr>
              <w:rPr>
                <w:rFonts w:ascii="宋体" w:hAnsi="宋体" w:cs="仿宋"/>
                <w:sz w:val="21"/>
                <w:szCs w:val="21"/>
                <w:lang w:val="zh-CN"/>
              </w:rPr>
            </w:pPr>
          </w:p>
        </w:tc>
        <w:tc>
          <w:tcPr>
            <w:tcW w:w="3190" w:type="dxa"/>
            <w:vAlign w:val="center"/>
          </w:tcPr>
          <w:p>
            <w:pPr>
              <w:rPr>
                <w:rFonts w:ascii="宋体" w:hAnsi="宋体" w:cs="仿宋"/>
                <w:sz w:val="21"/>
                <w:szCs w:val="21"/>
                <w:lang w:val="zh-CN"/>
              </w:rPr>
            </w:pPr>
            <w:r>
              <w:rPr>
                <w:rFonts w:hint="eastAsia" w:ascii="宋体" w:hAnsi="宋体" w:cs="仿宋"/>
                <w:sz w:val="21"/>
                <w:szCs w:val="21"/>
                <w:lang w:val="zh-CN"/>
              </w:rPr>
              <w:t>（2）具有良好的商业信誉和健全的财务会计制度</w:t>
            </w:r>
          </w:p>
        </w:tc>
        <w:tc>
          <w:tcPr>
            <w:tcW w:w="4419" w:type="dxa"/>
            <w:vAlign w:val="center"/>
          </w:tcPr>
          <w:p>
            <w:pPr>
              <w:snapToGrid w:val="0"/>
              <w:rPr>
                <w:rFonts w:ascii="宋体" w:hAnsi="宋体" w:cs="仿宋"/>
                <w:sz w:val="21"/>
                <w:szCs w:val="21"/>
                <w:lang w:val="zh-CN"/>
              </w:rPr>
            </w:pPr>
            <w:r>
              <w:rPr>
                <w:rFonts w:hint="eastAsia" w:ascii="宋体" w:hAnsi="宋体" w:cs="仿宋"/>
                <w:sz w:val="21"/>
                <w:szCs w:val="21"/>
                <w:lang w:val="zh-CN"/>
              </w:rPr>
              <w:t>提供</w:t>
            </w:r>
            <w:r>
              <w:rPr>
                <w:rFonts w:hint="eastAsia" w:ascii="宋体" w:hAnsi="宋体" w:cs="仿宋"/>
                <w:sz w:val="21"/>
                <w:szCs w:val="21"/>
                <w:u w:val="single"/>
                <w:lang w:val="zh-CN"/>
              </w:rPr>
              <w:t>2019</w:t>
            </w:r>
            <w:r>
              <w:rPr>
                <w:rFonts w:hint="eastAsia" w:ascii="宋体" w:hAnsi="宋体" w:cs="仿宋"/>
                <w:sz w:val="21"/>
                <w:szCs w:val="21"/>
                <w:lang w:val="zh-CN"/>
              </w:rPr>
              <w:t>年度财务状况报告（表）或其基本帐户开户银行出具的资信证明复印件加盖投标人公章，本年度新成立或成立不满一年的组织无法提供财务状况报告（表）的，可提供银行出具的资信证明复印件加盖投标人公章。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pPr>
              <w:jc w:val="center"/>
              <w:rPr>
                <w:rFonts w:ascii="宋体" w:hAnsi="宋体" w:cs="仿宋"/>
                <w:sz w:val="21"/>
                <w:szCs w:val="21"/>
                <w:lang w:val="zh-CN"/>
              </w:rPr>
            </w:pPr>
          </w:p>
        </w:tc>
        <w:tc>
          <w:tcPr>
            <w:tcW w:w="710" w:type="dxa"/>
            <w:vMerge w:val="continue"/>
            <w:vAlign w:val="center"/>
          </w:tcPr>
          <w:p>
            <w:pPr>
              <w:rPr>
                <w:rFonts w:ascii="宋体" w:hAnsi="宋体" w:cs="仿宋"/>
                <w:sz w:val="21"/>
                <w:szCs w:val="21"/>
                <w:lang w:val="zh-CN"/>
              </w:rPr>
            </w:pPr>
          </w:p>
        </w:tc>
        <w:tc>
          <w:tcPr>
            <w:tcW w:w="3190" w:type="dxa"/>
            <w:vAlign w:val="center"/>
          </w:tcPr>
          <w:p>
            <w:pPr>
              <w:rPr>
                <w:rFonts w:ascii="宋体" w:hAnsi="宋体" w:cs="仿宋"/>
                <w:sz w:val="21"/>
                <w:szCs w:val="21"/>
                <w:lang w:val="zh-CN"/>
              </w:rPr>
            </w:pPr>
            <w:r>
              <w:rPr>
                <w:rFonts w:hint="eastAsia" w:ascii="宋体" w:hAnsi="宋体" w:cs="仿宋"/>
                <w:sz w:val="21"/>
                <w:szCs w:val="21"/>
                <w:lang w:val="zh-CN"/>
              </w:rPr>
              <w:t>（3）具有履行合同所必需的设备和专业技术能力</w:t>
            </w:r>
          </w:p>
        </w:tc>
        <w:tc>
          <w:tcPr>
            <w:tcW w:w="4419" w:type="dxa"/>
            <w:vAlign w:val="center"/>
          </w:tcPr>
          <w:p>
            <w:pPr>
              <w:snapToGrid w:val="0"/>
              <w:rPr>
                <w:rFonts w:ascii="宋体" w:hAnsi="宋体" w:cs="仿宋"/>
                <w:sz w:val="21"/>
                <w:szCs w:val="21"/>
                <w:lang w:val="zh-CN"/>
              </w:rPr>
            </w:pPr>
            <w:r>
              <w:rPr>
                <w:rFonts w:hint="eastAsia" w:ascii="宋体" w:hAnsi="宋体" w:cs="仿宋"/>
                <w:sz w:val="21"/>
                <w:szCs w:val="21"/>
                <w:lang w:val="zh-CN"/>
              </w:rPr>
              <w:t>投标人提供书面声明或相关证明材料（见格式文件）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pPr>
              <w:jc w:val="center"/>
              <w:rPr>
                <w:rFonts w:ascii="宋体" w:hAnsi="宋体" w:cs="仿宋"/>
                <w:sz w:val="21"/>
                <w:szCs w:val="21"/>
                <w:lang w:val="zh-CN"/>
              </w:rPr>
            </w:pPr>
          </w:p>
        </w:tc>
        <w:tc>
          <w:tcPr>
            <w:tcW w:w="710" w:type="dxa"/>
            <w:vMerge w:val="continue"/>
            <w:vAlign w:val="center"/>
          </w:tcPr>
          <w:p>
            <w:pPr>
              <w:rPr>
                <w:rFonts w:ascii="宋体" w:hAnsi="宋体" w:cs="仿宋"/>
                <w:sz w:val="21"/>
                <w:szCs w:val="21"/>
                <w:lang w:val="zh-CN"/>
              </w:rPr>
            </w:pPr>
          </w:p>
        </w:tc>
        <w:tc>
          <w:tcPr>
            <w:tcW w:w="3190" w:type="dxa"/>
            <w:vAlign w:val="center"/>
          </w:tcPr>
          <w:p>
            <w:pPr>
              <w:snapToGrid w:val="0"/>
              <w:rPr>
                <w:rFonts w:ascii="宋体" w:hAnsi="宋体" w:cs="仿宋"/>
                <w:sz w:val="21"/>
                <w:szCs w:val="21"/>
                <w:lang w:val="zh-CN"/>
              </w:rPr>
            </w:pPr>
            <w:r>
              <w:rPr>
                <w:rFonts w:hint="eastAsia" w:ascii="宋体" w:hAnsi="宋体" w:cs="仿宋"/>
                <w:sz w:val="21"/>
                <w:szCs w:val="21"/>
                <w:lang w:val="zh-CN"/>
              </w:rPr>
              <w:t>（4）有依法缴纳税收和社会保障金的良好记录</w:t>
            </w:r>
          </w:p>
        </w:tc>
        <w:tc>
          <w:tcPr>
            <w:tcW w:w="4419" w:type="dxa"/>
            <w:vAlign w:val="center"/>
          </w:tcPr>
          <w:p>
            <w:pPr>
              <w:snapToGrid w:val="0"/>
              <w:rPr>
                <w:rFonts w:ascii="宋体" w:hAnsi="宋体" w:cs="仿宋"/>
                <w:sz w:val="21"/>
                <w:szCs w:val="21"/>
                <w:lang w:val="zh-CN"/>
              </w:rPr>
            </w:pPr>
            <w:r>
              <w:rPr>
                <w:rFonts w:hint="eastAsia" w:ascii="宋体" w:hAnsi="宋体" w:cs="仿宋"/>
                <w:sz w:val="21"/>
                <w:szCs w:val="21"/>
                <w:lang w:val="zh-CN"/>
              </w:rPr>
              <w:t>1.税务登记证（副本）复印件加盖投标人公章（注</w:t>
            </w:r>
            <w:r>
              <w:rPr>
                <w:rFonts w:hint="eastAsia" w:ascii="宋体" w:hAnsi="宋体" w:cs="仿宋"/>
                <w:kern w:val="0"/>
                <w:sz w:val="24"/>
                <w:szCs w:val="24"/>
              </w:rPr>
              <w:t>①</w:t>
            </w:r>
            <w:r>
              <w:rPr>
                <w:rFonts w:hint="eastAsia" w:ascii="宋体" w:hAnsi="宋体" w:cs="仿宋"/>
                <w:sz w:val="21"/>
                <w:szCs w:val="21"/>
                <w:lang w:val="zh-CN"/>
              </w:rPr>
              <w:t>）2.缴纳社会保障金的证明材料复印件加盖投标人公章（缴纳社会保障金的证明材料指：社会保险登记证（注</w:t>
            </w:r>
            <w:r>
              <w:rPr>
                <w:rFonts w:hint="eastAsia" w:ascii="宋体" w:hAnsi="宋体" w:cs="仿宋"/>
                <w:kern w:val="0"/>
                <w:sz w:val="24"/>
                <w:szCs w:val="24"/>
              </w:rPr>
              <w:t>①</w:t>
            </w:r>
            <w:r>
              <w:rPr>
                <w:rFonts w:hint="eastAsia" w:ascii="宋体" w:hAnsi="宋体" w:cs="仿宋"/>
                <w:sz w:val="21"/>
                <w:szCs w:val="21"/>
                <w:lang w:val="zh-CN"/>
              </w:rPr>
              <w:t>）或缴纳社会保险的凭据（专用收据或社会保险缴纳清单）。依法免税或不需要缴纳社会保障资金的投标人，应提供相应文件证明其依法免税或不需要缴纳社会保障资金。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pPr>
              <w:jc w:val="center"/>
              <w:rPr>
                <w:rFonts w:ascii="宋体" w:hAnsi="宋体" w:cs="仿宋"/>
                <w:sz w:val="21"/>
                <w:szCs w:val="21"/>
                <w:lang w:val="zh-CN"/>
              </w:rPr>
            </w:pPr>
          </w:p>
        </w:tc>
        <w:tc>
          <w:tcPr>
            <w:tcW w:w="710" w:type="dxa"/>
            <w:vMerge w:val="continue"/>
            <w:vAlign w:val="center"/>
          </w:tcPr>
          <w:p>
            <w:pPr>
              <w:rPr>
                <w:rFonts w:ascii="宋体" w:hAnsi="宋体" w:cs="仿宋"/>
                <w:sz w:val="21"/>
                <w:szCs w:val="21"/>
                <w:lang w:val="zh-CN"/>
              </w:rPr>
            </w:pPr>
          </w:p>
        </w:tc>
        <w:tc>
          <w:tcPr>
            <w:tcW w:w="3190" w:type="dxa"/>
            <w:vAlign w:val="center"/>
          </w:tcPr>
          <w:p>
            <w:pPr>
              <w:snapToGrid w:val="0"/>
              <w:rPr>
                <w:rFonts w:ascii="宋体" w:hAnsi="宋体" w:cs="仿宋"/>
                <w:sz w:val="21"/>
                <w:szCs w:val="21"/>
                <w:lang w:val="zh-CN"/>
              </w:rPr>
            </w:pPr>
            <w:r>
              <w:rPr>
                <w:rFonts w:hint="eastAsia" w:ascii="宋体" w:hAnsi="宋体" w:cs="仿宋"/>
                <w:sz w:val="21"/>
                <w:szCs w:val="21"/>
                <w:lang w:val="zh-CN"/>
              </w:rPr>
              <w:t>（5）参加政府采购活动前三年内，在经营活动中没有重大违法记录（注②）</w:t>
            </w:r>
          </w:p>
        </w:tc>
        <w:tc>
          <w:tcPr>
            <w:tcW w:w="4419" w:type="dxa"/>
            <w:vAlign w:val="center"/>
          </w:tcPr>
          <w:p>
            <w:pPr>
              <w:snapToGrid w:val="0"/>
              <w:rPr>
                <w:rFonts w:ascii="宋体" w:hAnsi="宋体" w:cs="仿宋"/>
                <w:sz w:val="21"/>
                <w:szCs w:val="21"/>
                <w:lang w:val="zh-CN"/>
              </w:rPr>
            </w:pPr>
            <w:r>
              <w:rPr>
                <w:rFonts w:hint="eastAsia" w:ascii="宋体" w:hAnsi="宋体" w:cs="仿宋"/>
                <w:sz w:val="21"/>
                <w:szCs w:val="21"/>
                <w:lang w:val="zh-CN"/>
              </w:rPr>
              <w:t>1.投标人提供书面声明（见格式文件）；</w:t>
            </w:r>
          </w:p>
          <w:p>
            <w:pPr>
              <w:snapToGrid w:val="0"/>
              <w:rPr>
                <w:rFonts w:ascii="宋体" w:hAnsi="宋体" w:cs="仿宋"/>
                <w:sz w:val="21"/>
                <w:szCs w:val="21"/>
                <w:lang w:val="zh-CN"/>
              </w:rPr>
            </w:pPr>
            <w:r>
              <w:rPr>
                <w:rFonts w:ascii="宋体" w:hAnsi="宋体" w:cs="仿宋"/>
                <w:sz w:val="21"/>
                <w:szCs w:val="21"/>
                <w:lang w:val="zh-CN"/>
              </w:rPr>
              <w:t>2.</w:t>
            </w:r>
            <w:r>
              <w:rPr>
                <w:rFonts w:hint="eastAsia" w:ascii="宋体" w:hAnsi="宋体" w:cs="仿宋"/>
                <w:sz w:val="21"/>
                <w:szCs w:val="21"/>
                <w:lang w:val="zh-CN"/>
              </w:rPr>
              <w:t>投标人提供信用中国网站（www.creditchina.gov.cn）“信用信息”（包括“失信被执行人”及“重大税收违法案件当事人名单”）及“行政处罚”查询结果以及中国政府采购网（http://www.ccgp.gov.cn）“政府采购严重违法失信行为纪录名单”查询结果（上述两个网站应分项目查询，每一项结果打印一页，并加盖投标人公章）。查询时间为本项目采购公告发布之日起至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68" w:type="dxa"/>
            <w:vMerge w:val="continue"/>
            <w:vAlign w:val="center"/>
          </w:tcPr>
          <w:p>
            <w:pPr>
              <w:jc w:val="center"/>
              <w:rPr>
                <w:rFonts w:ascii="宋体" w:hAnsi="宋体" w:cs="仿宋"/>
                <w:sz w:val="21"/>
                <w:szCs w:val="21"/>
                <w:lang w:val="zh-CN"/>
              </w:rPr>
            </w:pPr>
          </w:p>
        </w:tc>
        <w:tc>
          <w:tcPr>
            <w:tcW w:w="710" w:type="dxa"/>
            <w:vMerge w:val="continue"/>
            <w:vAlign w:val="center"/>
          </w:tcPr>
          <w:p>
            <w:pPr>
              <w:rPr>
                <w:rFonts w:ascii="宋体" w:hAnsi="宋体" w:cs="仿宋"/>
                <w:sz w:val="21"/>
                <w:szCs w:val="21"/>
                <w:lang w:val="zh-CN"/>
              </w:rPr>
            </w:pPr>
          </w:p>
        </w:tc>
        <w:tc>
          <w:tcPr>
            <w:tcW w:w="3190" w:type="dxa"/>
            <w:vAlign w:val="center"/>
          </w:tcPr>
          <w:p>
            <w:pPr>
              <w:snapToGrid w:val="0"/>
              <w:rPr>
                <w:rFonts w:ascii="宋体" w:hAnsi="宋体" w:cs="仿宋"/>
                <w:sz w:val="21"/>
                <w:szCs w:val="21"/>
                <w:lang w:val="zh-CN"/>
              </w:rPr>
            </w:pPr>
            <w:r>
              <w:rPr>
                <w:rFonts w:hint="eastAsia" w:ascii="宋体" w:hAnsi="宋体" w:cs="仿宋"/>
                <w:sz w:val="21"/>
                <w:szCs w:val="21"/>
                <w:lang w:val="zh-CN"/>
              </w:rPr>
              <w:t>（6）法律、行政法规规定的其他条件</w:t>
            </w:r>
          </w:p>
        </w:tc>
        <w:tc>
          <w:tcPr>
            <w:tcW w:w="4419" w:type="dxa"/>
            <w:vAlign w:val="center"/>
          </w:tcPr>
          <w:p>
            <w:pPr>
              <w:snapToGrid w:val="0"/>
              <w:rPr>
                <w:rFonts w:ascii="宋体" w:hAnsi="宋体" w:cs="仿宋"/>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68" w:type="dxa"/>
            <w:vAlign w:val="center"/>
          </w:tcPr>
          <w:p>
            <w:pPr>
              <w:jc w:val="center"/>
              <w:rPr>
                <w:rFonts w:ascii="宋体" w:hAnsi="宋体" w:cs="仿宋"/>
                <w:sz w:val="21"/>
                <w:szCs w:val="21"/>
                <w:lang w:val="zh-CN"/>
              </w:rPr>
            </w:pPr>
            <w:r>
              <w:rPr>
                <w:rFonts w:hint="eastAsia" w:ascii="宋体" w:hAnsi="宋体" w:cs="仿宋"/>
                <w:sz w:val="21"/>
                <w:szCs w:val="21"/>
                <w:lang w:val="zh-CN"/>
              </w:rPr>
              <w:t>2</w:t>
            </w:r>
          </w:p>
        </w:tc>
        <w:tc>
          <w:tcPr>
            <w:tcW w:w="3900" w:type="dxa"/>
            <w:gridSpan w:val="2"/>
            <w:vAlign w:val="center"/>
          </w:tcPr>
          <w:p>
            <w:pPr>
              <w:spacing w:line="240" w:lineRule="exact"/>
              <w:rPr>
                <w:rFonts w:ascii="宋体" w:hAnsi="宋体"/>
                <w:sz w:val="21"/>
                <w:szCs w:val="21"/>
              </w:rPr>
            </w:pPr>
            <w:r>
              <w:rPr>
                <w:rFonts w:hint="eastAsia" w:ascii="宋体" w:hAnsi="宋体"/>
                <w:sz w:val="21"/>
                <w:szCs w:val="21"/>
              </w:rPr>
              <w:t>特定资格条件</w:t>
            </w:r>
          </w:p>
        </w:tc>
        <w:tc>
          <w:tcPr>
            <w:tcW w:w="4419" w:type="dxa"/>
            <w:vAlign w:val="center"/>
          </w:tcPr>
          <w:p>
            <w:pPr>
              <w:spacing w:line="240" w:lineRule="exact"/>
              <w:rPr>
                <w:rFonts w:ascii="宋体" w:hAnsi="宋体"/>
                <w:sz w:val="21"/>
                <w:szCs w:val="21"/>
              </w:rPr>
            </w:pPr>
            <w:r>
              <w:rPr>
                <w:rFonts w:hint="eastAsia" w:ascii="宋体" w:hAnsi="宋体"/>
                <w:sz w:val="21"/>
                <w:szCs w:val="21"/>
              </w:rPr>
              <w:t>按第一篇“二、投标人资格要求（二）特定资格条件”的要求提交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68" w:type="dxa"/>
            <w:vAlign w:val="center"/>
          </w:tcPr>
          <w:p>
            <w:pPr>
              <w:jc w:val="center"/>
              <w:rPr>
                <w:rFonts w:ascii="宋体" w:hAnsi="宋体" w:cs="仿宋"/>
                <w:sz w:val="21"/>
                <w:szCs w:val="21"/>
                <w:lang w:val="zh-CN"/>
              </w:rPr>
            </w:pPr>
            <w:r>
              <w:rPr>
                <w:rFonts w:hint="eastAsia" w:ascii="宋体" w:hAnsi="宋体" w:cs="仿宋"/>
                <w:sz w:val="21"/>
                <w:szCs w:val="21"/>
              </w:rPr>
              <w:t>3</w:t>
            </w:r>
          </w:p>
        </w:tc>
        <w:tc>
          <w:tcPr>
            <w:tcW w:w="3900" w:type="dxa"/>
            <w:gridSpan w:val="2"/>
            <w:vAlign w:val="center"/>
          </w:tcPr>
          <w:p>
            <w:pPr>
              <w:snapToGrid w:val="0"/>
              <w:rPr>
                <w:rFonts w:ascii="宋体" w:hAnsi="宋体" w:cs="仿宋"/>
                <w:sz w:val="21"/>
                <w:szCs w:val="21"/>
                <w:lang w:val="zh-CN"/>
              </w:rPr>
            </w:pPr>
            <w:r>
              <w:rPr>
                <w:rFonts w:hint="eastAsia" w:ascii="宋体" w:hAnsi="宋体" w:cs="仿宋"/>
                <w:sz w:val="21"/>
                <w:szCs w:val="21"/>
                <w:lang w:val="zh-CN"/>
              </w:rPr>
              <w:t>投标保证金</w:t>
            </w:r>
          </w:p>
        </w:tc>
        <w:tc>
          <w:tcPr>
            <w:tcW w:w="4419" w:type="dxa"/>
            <w:vAlign w:val="center"/>
          </w:tcPr>
          <w:p>
            <w:pPr>
              <w:snapToGrid w:val="0"/>
              <w:rPr>
                <w:rFonts w:ascii="宋体" w:hAnsi="宋体" w:cs="仿宋"/>
                <w:sz w:val="21"/>
                <w:szCs w:val="21"/>
              </w:rPr>
            </w:pPr>
            <w:r>
              <w:rPr>
                <w:rFonts w:hint="eastAsia" w:ascii="宋体" w:hAnsi="宋体" w:cs="仿宋"/>
                <w:sz w:val="21"/>
                <w:szCs w:val="21"/>
                <w:lang w:val="zh-CN"/>
              </w:rPr>
              <w:t>按照招标文件的规定提交投标保证金</w:t>
            </w:r>
            <w:r>
              <w:rPr>
                <w:rFonts w:hint="eastAsia" w:ascii="宋体" w:hAnsi="宋体" w:cs="仿宋"/>
                <w:sz w:val="21"/>
                <w:szCs w:val="21"/>
              </w:rPr>
              <w:t>。</w:t>
            </w:r>
          </w:p>
        </w:tc>
      </w:tr>
    </w:tbl>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注：①投标人按“五证合一”或“三证合一”登记制度办理营业执照的，组织机构代码证、税务登记证（副本）和社会保险登记证以投标人所提供的营业执</w:t>
      </w:r>
      <w:r>
        <w:rPr>
          <w:rFonts w:hint="eastAsia" w:ascii="宋体" w:hAnsi="宋体" w:cs="仿宋"/>
          <w:kern w:val="0"/>
          <w:sz w:val="24"/>
          <w:szCs w:val="24"/>
        </w:rPr>
        <w:t>照</w:t>
      </w:r>
      <w:r>
        <w:rPr>
          <w:rFonts w:hint="eastAsia" w:ascii="黑体" w:hAnsi="宋体" w:eastAsia="黑体"/>
          <w:color w:val="000000"/>
          <w:sz w:val="24"/>
          <w:szCs w:val="24"/>
        </w:rPr>
        <w:t>（副本）复印件为准。</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②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pacing w:line="360" w:lineRule="auto"/>
        <w:rPr>
          <w:rFonts w:ascii="黑体" w:hAnsi="宋体" w:eastAsia="黑体"/>
          <w:color w:val="000000"/>
          <w:sz w:val="24"/>
          <w:szCs w:val="24"/>
        </w:rPr>
      </w:pPr>
      <w:bookmarkStart w:id="26" w:name="_Toc492721016"/>
      <w:bookmarkStart w:id="27" w:name="_Toc493506299"/>
      <w:bookmarkStart w:id="28" w:name="_Toc495330521"/>
      <w:bookmarkStart w:id="29" w:name="_Toc10103732"/>
      <w:r>
        <w:rPr>
          <w:rFonts w:hint="eastAsia" w:ascii="黑体" w:hAnsi="宋体" w:eastAsia="黑体"/>
          <w:color w:val="000000"/>
          <w:sz w:val="24"/>
          <w:szCs w:val="24"/>
        </w:rPr>
        <w:t>二、评标方法</w:t>
      </w:r>
      <w:bookmarkEnd w:id="26"/>
      <w:bookmarkEnd w:id="27"/>
      <w:bookmarkEnd w:id="28"/>
      <w:bookmarkEnd w:id="29"/>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本项目采用综合评分法进行评标。</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综合评分法，是指投标文件满足招标文件全部实质性要求且按照评审因素的量化指标评审得分最高的投标人为中标候选人的评标方法。投标人总得分为价格、服务、商务等评定因素分别按照相应权重值计算分项得分后相加，满分为100分。</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（一）符合性审查</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评标委员会应当对符合资格的投标人的投标文件进行符合性审查，以确定其是否满足招标文件的实质性要求。符合性审查资料表如下：</w:t>
      </w:r>
    </w:p>
    <w:tbl>
      <w:tblPr>
        <w:tblStyle w:val="14"/>
        <w:tblW w:w="0" w:type="auto"/>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486"/>
        <w:gridCol w:w="1677"/>
        <w:gridCol w:w="4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764" w:type="dxa"/>
            <w:vAlign w:val="center"/>
          </w:tcPr>
          <w:p>
            <w:pPr>
              <w:jc w:val="center"/>
              <w:rPr>
                <w:rFonts w:ascii="宋体" w:hAnsi="宋体" w:cs="仿宋"/>
                <w:b/>
                <w:sz w:val="21"/>
                <w:szCs w:val="21"/>
                <w:lang w:val="zh-CN"/>
              </w:rPr>
            </w:pPr>
            <w:r>
              <w:rPr>
                <w:rFonts w:hint="eastAsia" w:ascii="宋体" w:hAnsi="宋体" w:cs="仿宋"/>
                <w:b/>
                <w:sz w:val="21"/>
                <w:szCs w:val="21"/>
                <w:lang w:val="zh-CN"/>
              </w:rPr>
              <w:t>序号</w:t>
            </w:r>
          </w:p>
        </w:tc>
        <w:tc>
          <w:tcPr>
            <w:tcW w:w="3163" w:type="dxa"/>
            <w:gridSpan w:val="2"/>
            <w:vAlign w:val="center"/>
          </w:tcPr>
          <w:p>
            <w:pPr>
              <w:jc w:val="center"/>
              <w:rPr>
                <w:rFonts w:ascii="宋体" w:hAnsi="宋体" w:cs="仿宋"/>
                <w:b/>
                <w:sz w:val="21"/>
                <w:szCs w:val="21"/>
                <w:lang w:val="zh-CN"/>
              </w:rPr>
            </w:pPr>
            <w:r>
              <w:rPr>
                <w:rFonts w:hint="eastAsia" w:ascii="宋体" w:hAnsi="宋体" w:cs="仿宋"/>
                <w:b/>
                <w:sz w:val="21"/>
                <w:szCs w:val="21"/>
                <w:lang w:val="zh-CN"/>
              </w:rPr>
              <w:t>评审因素</w:t>
            </w:r>
          </w:p>
        </w:tc>
        <w:tc>
          <w:tcPr>
            <w:tcW w:w="4378" w:type="dxa"/>
            <w:vAlign w:val="center"/>
          </w:tcPr>
          <w:p>
            <w:pPr>
              <w:jc w:val="center"/>
              <w:rPr>
                <w:rFonts w:ascii="宋体" w:hAnsi="宋体" w:cs="仿宋"/>
                <w:b/>
                <w:sz w:val="21"/>
                <w:szCs w:val="21"/>
                <w:lang w:val="zh-CN"/>
              </w:rPr>
            </w:pPr>
            <w:r>
              <w:rPr>
                <w:rFonts w:hint="eastAsia" w:ascii="宋体" w:hAnsi="宋体" w:cs="仿宋"/>
                <w:b/>
                <w:sz w:val="21"/>
                <w:szCs w:val="21"/>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64" w:type="dxa"/>
            <w:vMerge w:val="restart"/>
            <w:vAlign w:val="center"/>
          </w:tcPr>
          <w:p>
            <w:pPr>
              <w:snapToGrid w:val="0"/>
              <w:jc w:val="center"/>
              <w:rPr>
                <w:rFonts w:ascii="宋体" w:hAnsi="宋体" w:cs="仿宋"/>
                <w:sz w:val="21"/>
                <w:szCs w:val="21"/>
                <w:lang w:val="zh-CN"/>
              </w:rPr>
            </w:pPr>
            <w:r>
              <w:rPr>
                <w:rFonts w:hint="eastAsia" w:ascii="宋体" w:hAnsi="宋体" w:cs="仿宋"/>
                <w:sz w:val="21"/>
                <w:szCs w:val="21"/>
                <w:lang w:val="zh-CN"/>
              </w:rPr>
              <w:t>1</w:t>
            </w:r>
          </w:p>
        </w:tc>
        <w:tc>
          <w:tcPr>
            <w:tcW w:w="1486" w:type="dxa"/>
            <w:vMerge w:val="restart"/>
            <w:vAlign w:val="center"/>
          </w:tcPr>
          <w:p>
            <w:pPr>
              <w:snapToGrid w:val="0"/>
              <w:rPr>
                <w:rFonts w:ascii="宋体" w:hAnsi="宋体" w:cs="仿宋"/>
                <w:sz w:val="21"/>
                <w:szCs w:val="21"/>
                <w:lang w:val="zh-CN"/>
              </w:rPr>
            </w:pPr>
            <w:r>
              <w:rPr>
                <w:rFonts w:hint="eastAsia" w:ascii="宋体" w:hAnsi="宋体" w:cs="仿宋"/>
                <w:sz w:val="21"/>
                <w:szCs w:val="21"/>
                <w:lang w:val="zh-CN"/>
              </w:rPr>
              <w:t>有效性审查</w:t>
            </w:r>
          </w:p>
        </w:tc>
        <w:tc>
          <w:tcPr>
            <w:tcW w:w="1677" w:type="dxa"/>
            <w:vAlign w:val="center"/>
          </w:tcPr>
          <w:p>
            <w:pPr>
              <w:snapToGrid w:val="0"/>
              <w:rPr>
                <w:rFonts w:ascii="宋体" w:hAnsi="宋体" w:cs="仿宋"/>
                <w:sz w:val="21"/>
                <w:szCs w:val="21"/>
                <w:lang w:val="zh-CN"/>
              </w:rPr>
            </w:pPr>
            <w:r>
              <w:rPr>
                <w:rFonts w:hint="eastAsia" w:ascii="宋体" w:hAnsi="宋体" w:cs="仿宋"/>
                <w:sz w:val="21"/>
                <w:szCs w:val="21"/>
                <w:lang w:val="zh-CN"/>
              </w:rPr>
              <w:t>投标文件签署</w:t>
            </w:r>
          </w:p>
        </w:tc>
        <w:tc>
          <w:tcPr>
            <w:tcW w:w="4378" w:type="dxa"/>
            <w:vAlign w:val="center"/>
          </w:tcPr>
          <w:p>
            <w:pPr>
              <w:snapToGrid w:val="0"/>
              <w:rPr>
                <w:rFonts w:ascii="宋体" w:hAnsi="宋体" w:cs="仿宋"/>
                <w:sz w:val="21"/>
                <w:szCs w:val="21"/>
                <w:lang w:val="zh-CN"/>
              </w:rPr>
            </w:pPr>
            <w:r>
              <w:rPr>
                <w:rFonts w:hint="eastAsia" w:ascii="宋体" w:hAnsi="宋体" w:cs="仿宋"/>
                <w:sz w:val="21"/>
                <w:szCs w:val="21"/>
                <w:lang w:val="zh-CN"/>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4" w:type="dxa"/>
            <w:vMerge w:val="continue"/>
            <w:vAlign w:val="center"/>
          </w:tcPr>
          <w:p>
            <w:pPr>
              <w:snapToGrid w:val="0"/>
              <w:jc w:val="center"/>
              <w:rPr>
                <w:rFonts w:ascii="宋体" w:hAnsi="宋体" w:cs="仿宋"/>
                <w:sz w:val="21"/>
                <w:szCs w:val="21"/>
                <w:lang w:val="zh-CN"/>
              </w:rPr>
            </w:pPr>
          </w:p>
        </w:tc>
        <w:tc>
          <w:tcPr>
            <w:tcW w:w="1486" w:type="dxa"/>
            <w:vMerge w:val="continue"/>
            <w:vAlign w:val="center"/>
          </w:tcPr>
          <w:p>
            <w:pPr>
              <w:snapToGrid w:val="0"/>
              <w:rPr>
                <w:rFonts w:ascii="宋体" w:hAnsi="宋体" w:cs="仿宋"/>
                <w:sz w:val="21"/>
                <w:szCs w:val="21"/>
                <w:lang w:val="zh-CN"/>
              </w:rPr>
            </w:pPr>
          </w:p>
        </w:tc>
        <w:tc>
          <w:tcPr>
            <w:tcW w:w="1677" w:type="dxa"/>
            <w:vAlign w:val="center"/>
          </w:tcPr>
          <w:p>
            <w:pPr>
              <w:snapToGrid w:val="0"/>
              <w:rPr>
                <w:rFonts w:ascii="宋体" w:hAnsi="宋体" w:cs="仿宋"/>
                <w:sz w:val="21"/>
                <w:szCs w:val="21"/>
                <w:lang w:val="zh-CN"/>
              </w:rPr>
            </w:pPr>
            <w:r>
              <w:rPr>
                <w:rFonts w:hint="eastAsia" w:ascii="宋体" w:hAnsi="宋体" w:cs="仿宋"/>
                <w:sz w:val="21"/>
                <w:szCs w:val="21"/>
                <w:lang w:val="zh-CN"/>
              </w:rPr>
              <w:t>投标方案</w:t>
            </w:r>
          </w:p>
        </w:tc>
        <w:tc>
          <w:tcPr>
            <w:tcW w:w="4378" w:type="dxa"/>
            <w:vAlign w:val="center"/>
          </w:tcPr>
          <w:p>
            <w:pPr>
              <w:snapToGrid w:val="0"/>
              <w:rPr>
                <w:rFonts w:ascii="宋体" w:hAnsi="宋体" w:cs="仿宋"/>
                <w:sz w:val="21"/>
                <w:szCs w:val="21"/>
                <w:lang w:val="zh-CN"/>
              </w:rPr>
            </w:pPr>
            <w:r>
              <w:rPr>
                <w:rFonts w:hint="eastAsia" w:ascii="宋体" w:hAnsi="宋体" w:cs="仿宋"/>
                <w:sz w:val="21"/>
                <w:szCs w:val="21"/>
                <w:lang w:val="zh-CN"/>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64" w:type="dxa"/>
            <w:vMerge w:val="continue"/>
            <w:vAlign w:val="center"/>
          </w:tcPr>
          <w:p>
            <w:pPr>
              <w:snapToGrid w:val="0"/>
              <w:jc w:val="center"/>
              <w:rPr>
                <w:rFonts w:ascii="宋体" w:hAnsi="宋体" w:cs="仿宋"/>
                <w:sz w:val="21"/>
                <w:szCs w:val="21"/>
                <w:lang w:val="zh-CN"/>
              </w:rPr>
            </w:pPr>
          </w:p>
        </w:tc>
        <w:tc>
          <w:tcPr>
            <w:tcW w:w="1486" w:type="dxa"/>
            <w:vMerge w:val="continue"/>
            <w:vAlign w:val="center"/>
          </w:tcPr>
          <w:p>
            <w:pPr>
              <w:snapToGrid w:val="0"/>
              <w:rPr>
                <w:rFonts w:ascii="宋体" w:hAnsi="宋体" w:cs="仿宋"/>
                <w:sz w:val="21"/>
                <w:szCs w:val="21"/>
                <w:lang w:val="zh-CN"/>
              </w:rPr>
            </w:pPr>
          </w:p>
        </w:tc>
        <w:tc>
          <w:tcPr>
            <w:tcW w:w="1677" w:type="dxa"/>
            <w:vAlign w:val="center"/>
          </w:tcPr>
          <w:p>
            <w:pPr>
              <w:snapToGrid w:val="0"/>
              <w:rPr>
                <w:rFonts w:ascii="宋体" w:hAnsi="宋体" w:cs="仿宋"/>
                <w:sz w:val="21"/>
                <w:szCs w:val="21"/>
                <w:lang w:val="zh-CN"/>
              </w:rPr>
            </w:pPr>
            <w:r>
              <w:rPr>
                <w:rFonts w:hint="eastAsia" w:ascii="宋体" w:hAnsi="宋体" w:cs="仿宋"/>
                <w:sz w:val="21"/>
                <w:szCs w:val="21"/>
                <w:lang w:val="zh-CN"/>
              </w:rPr>
              <w:t>报价唯一</w:t>
            </w:r>
          </w:p>
        </w:tc>
        <w:tc>
          <w:tcPr>
            <w:tcW w:w="4378" w:type="dxa"/>
            <w:vAlign w:val="center"/>
          </w:tcPr>
          <w:p>
            <w:pPr>
              <w:snapToGrid w:val="0"/>
              <w:rPr>
                <w:rFonts w:ascii="宋体" w:hAnsi="宋体" w:cs="仿宋"/>
                <w:sz w:val="21"/>
                <w:szCs w:val="21"/>
                <w:lang w:val="zh-CN"/>
              </w:rPr>
            </w:pPr>
            <w:r>
              <w:rPr>
                <w:rFonts w:hint="eastAsia" w:ascii="宋体" w:hAnsi="宋体" w:cs="仿宋"/>
                <w:sz w:val="21"/>
                <w:szCs w:val="21"/>
                <w:lang w:val="zh-CN"/>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64" w:type="dxa"/>
            <w:vAlign w:val="center"/>
          </w:tcPr>
          <w:p>
            <w:pPr>
              <w:snapToGrid w:val="0"/>
              <w:jc w:val="center"/>
              <w:rPr>
                <w:rFonts w:ascii="宋体" w:hAnsi="宋体" w:cs="仿宋"/>
                <w:sz w:val="21"/>
                <w:szCs w:val="21"/>
                <w:lang w:val="zh-CN"/>
              </w:rPr>
            </w:pPr>
            <w:r>
              <w:rPr>
                <w:rFonts w:hint="eastAsia" w:ascii="宋体" w:hAnsi="宋体" w:cs="仿宋"/>
                <w:sz w:val="21"/>
                <w:szCs w:val="21"/>
                <w:lang w:val="zh-CN"/>
              </w:rPr>
              <w:t>2</w:t>
            </w:r>
          </w:p>
        </w:tc>
        <w:tc>
          <w:tcPr>
            <w:tcW w:w="1486" w:type="dxa"/>
            <w:vAlign w:val="center"/>
          </w:tcPr>
          <w:p>
            <w:pPr>
              <w:snapToGrid w:val="0"/>
              <w:rPr>
                <w:rFonts w:ascii="宋体" w:hAnsi="宋体" w:cs="仿宋"/>
                <w:sz w:val="21"/>
                <w:szCs w:val="21"/>
                <w:lang w:val="zh-CN"/>
              </w:rPr>
            </w:pPr>
            <w:r>
              <w:rPr>
                <w:rFonts w:hint="eastAsia" w:ascii="宋体" w:hAnsi="宋体" w:cs="仿宋"/>
                <w:sz w:val="21"/>
                <w:szCs w:val="21"/>
                <w:lang w:val="zh-CN"/>
              </w:rPr>
              <w:t>完整性审查</w:t>
            </w:r>
          </w:p>
        </w:tc>
        <w:tc>
          <w:tcPr>
            <w:tcW w:w="1677" w:type="dxa"/>
            <w:vAlign w:val="center"/>
          </w:tcPr>
          <w:p>
            <w:pPr>
              <w:snapToGrid w:val="0"/>
              <w:rPr>
                <w:rFonts w:ascii="宋体" w:hAnsi="宋体" w:cs="仿宋"/>
                <w:sz w:val="21"/>
                <w:szCs w:val="21"/>
                <w:lang w:val="zh-CN"/>
              </w:rPr>
            </w:pPr>
            <w:r>
              <w:rPr>
                <w:rFonts w:hint="eastAsia" w:ascii="宋体" w:hAnsi="宋体" w:cs="仿宋"/>
                <w:sz w:val="21"/>
                <w:szCs w:val="21"/>
                <w:lang w:val="zh-CN"/>
              </w:rPr>
              <w:t>投标文件份数</w:t>
            </w:r>
          </w:p>
        </w:tc>
        <w:tc>
          <w:tcPr>
            <w:tcW w:w="4378" w:type="dxa"/>
            <w:vAlign w:val="center"/>
          </w:tcPr>
          <w:p>
            <w:pPr>
              <w:snapToGrid w:val="0"/>
              <w:rPr>
                <w:rFonts w:ascii="宋体" w:hAnsi="宋体" w:cs="仿宋"/>
                <w:sz w:val="21"/>
                <w:szCs w:val="21"/>
                <w:lang w:val="zh-CN"/>
              </w:rPr>
            </w:pPr>
            <w:r>
              <w:rPr>
                <w:rFonts w:hint="eastAsia" w:ascii="宋体" w:hAnsi="宋体" w:cs="仿宋"/>
                <w:sz w:val="21"/>
                <w:szCs w:val="21"/>
                <w:lang w:val="zh-CN"/>
              </w:rPr>
              <w:t>投标文件正、副本数量（含电子文档）符合招标文件要求。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4" w:type="dxa"/>
            <w:vAlign w:val="center"/>
          </w:tcPr>
          <w:p>
            <w:pPr>
              <w:snapToGrid w:val="0"/>
              <w:jc w:val="center"/>
              <w:rPr>
                <w:rFonts w:ascii="宋体" w:hAnsi="宋体" w:cs="仿宋"/>
                <w:sz w:val="21"/>
                <w:szCs w:val="21"/>
                <w:lang w:val="zh-CN"/>
              </w:rPr>
            </w:pPr>
            <w:r>
              <w:rPr>
                <w:rFonts w:hint="eastAsia" w:ascii="宋体" w:hAnsi="宋体" w:cs="仿宋"/>
                <w:sz w:val="21"/>
                <w:szCs w:val="21"/>
                <w:lang w:val="zh-CN"/>
              </w:rPr>
              <w:t>3</w:t>
            </w:r>
          </w:p>
        </w:tc>
        <w:tc>
          <w:tcPr>
            <w:tcW w:w="1486" w:type="dxa"/>
            <w:vAlign w:val="center"/>
          </w:tcPr>
          <w:p>
            <w:pPr>
              <w:snapToGrid w:val="0"/>
              <w:rPr>
                <w:rFonts w:ascii="宋体" w:hAnsi="宋体" w:cs="仿宋"/>
                <w:sz w:val="21"/>
                <w:szCs w:val="21"/>
                <w:lang w:val="zh-CN"/>
              </w:rPr>
            </w:pPr>
            <w:r>
              <w:rPr>
                <w:rFonts w:hint="eastAsia" w:ascii="宋体" w:hAnsi="宋体" w:cs="仿宋"/>
                <w:sz w:val="21"/>
                <w:szCs w:val="21"/>
                <w:lang w:val="zh-CN"/>
              </w:rPr>
              <w:t>技术部分</w:t>
            </w:r>
          </w:p>
        </w:tc>
        <w:tc>
          <w:tcPr>
            <w:tcW w:w="1677" w:type="dxa"/>
            <w:vAlign w:val="center"/>
          </w:tcPr>
          <w:p>
            <w:pPr>
              <w:snapToGrid w:val="0"/>
              <w:rPr>
                <w:rFonts w:ascii="宋体" w:hAnsi="宋体" w:cs="仿宋"/>
                <w:sz w:val="21"/>
                <w:szCs w:val="21"/>
                <w:lang w:val="zh-CN"/>
              </w:rPr>
            </w:pPr>
            <w:r>
              <w:rPr>
                <w:rFonts w:hint="eastAsia" w:ascii="宋体" w:hAnsi="宋体" w:cs="仿宋"/>
                <w:sz w:val="21"/>
                <w:szCs w:val="21"/>
                <w:lang w:val="zh-CN"/>
              </w:rPr>
              <w:t>投标文件内容</w:t>
            </w:r>
          </w:p>
        </w:tc>
        <w:tc>
          <w:tcPr>
            <w:tcW w:w="4378" w:type="dxa"/>
            <w:vAlign w:val="center"/>
          </w:tcPr>
          <w:p>
            <w:pPr>
              <w:snapToGrid w:val="0"/>
              <w:rPr>
                <w:rFonts w:ascii="宋体" w:hAnsi="宋体" w:cs="仿宋"/>
                <w:sz w:val="21"/>
                <w:szCs w:val="21"/>
                <w:lang w:val="zh-CN"/>
              </w:rPr>
            </w:pPr>
            <w:r>
              <w:rPr>
                <w:rFonts w:hint="eastAsia" w:ascii="宋体" w:hAnsi="宋体" w:cs="仿宋"/>
                <w:sz w:val="21"/>
                <w:szCs w:val="21"/>
                <w:lang w:val="zh-CN"/>
              </w:rPr>
              <w:t>本招标文件第二篇规定的内容作出响应。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4" w:type="dxa"/>
            <w:vAlign w:val="center"/>
          </w:tcPr>
          <w:p>
            <w:pPr>
              <w:snapToGrid w:val="0"/>
              <w:jc w:val="center"/>
              <w:rPr>
                <w:rFonts w:ascii="宋体" w:hAnsi="宋体" w:cs="仿宋"/>
                <w:sz w:val="21"/>
                <w:szCs w:val="21"/>
                <w:lang w:val="zh-CN"/>
              </w:rPr>
            </w:pPr>
            <w:r>
              <w:rPr>
                <w:rFonts w:hint="eastAsia" w:ascii="宋体" w:hAnsi="宋体" w:cs="仿宋"/>
                <w:sz w:val="21"/>
                <w:szCs w:val="21"/>
                <w:lang w:val="zh-CN"/>
              </w:rPr>
              <w:t>4</w:t>
            </w:r>
          </w:p>
        </w:tc>
        <w:tc>
          <w:tcPr>
            <w:tcW w:w="1486" w:type="dxa"/>
            <w:vAlign w:val="center"/>
          </w:tcPr>
          <w:p>
            <w:pPr>
              <w:snapToGrid w:val="0"/>
              <w:rPr>
                <w:rFonts w:ascii="宋体" w:hAnsi="宋体" w:cs="仿宋"/>
                <w:sz w:val="21"/>
                <w:szCs w:val="21"/>
                <w:lang w:val="zh-CN"/>
              </w:rPr>
            </w:pPr>
            <w:r>
              <w:rPr>
                <w:rFonts w:hint="eastAsia" w:ascii="宋体" w:hAnsi="宋体" w:cs="仿宋"/>
                <w:sz w:val="21"/>
                <w:szCs w:val="21"/>
                <w:lang w:val="zh-CN"/>
              </w:rPr>
              <w:t>商务部分</w:t>
            </w:r>
          </w:p>
        </w:tc>
        <w:tc>
          <w:tcPr>
            <w:tcW w:w="1677" w:type="dxa"/>
            <w:vAlign w:val="center"/>
          </w:tcPr>
          <w:p>
            <w:pPr>
              <w:snapToGrid w:val="0"/>
              <w:rPr>
                <w:rFonts w:ascii="宋体" w:hAnsi="宋体" w:cs="仿宋"/>
                <w:sz w:val="21"/>
                <w:szCs w:val="21"/>
                <w:lang w:val="zh-CN"/>
              </w:rPr>
            </w:pPr>
            <w:r>
              <w:rPr>
                <w:rFonts w:hint="eastAsia" w:ascii="宋体" w:hAnsi="宋体" w:cs="仿宋"/>
                <w:sz w:val="21"/>
                <w:szCs w:val="21"/>
                <w:lang w:val="zh-CN"/>
              </w:rPr>
              <w:t>投标文件内容</w:t>
            </w:r>
          </w:p>
        </w:tc>
        <w:tc>
          <w:tcPr>
            <w:tcW w:w="4378" w:type="dxa"/>
            <w:vAlign w:val="center"/>
          </w:tcPr>
          <w:p>
            <w:pPr>
              <w:snapToGrid w:val="0"/>
              <w:rPr>
                <w:rFonts w:ascii="宋体" w:hAnsi="宋体" w:cs="仿宋"/>
                <w:sz w:val="21"/>
                <w:szCs w:val="21"/>
                <w:lang w:val="zh-CN"/>
              </w:rPr>
            </w:pPr>
            <w:r>
              <w:rPr>
                <w:rFonts w:hint="eastAsia" w:ascii="宋体" w:hAnsi="宋体" w:cs="仿宋"/>
                <w:sz w:val="21"/>
                <w:szCs w:val="21"/>
                <w:lang w:val="zh-CN"/>
              </w:rPr>
              <w:t>本招标文件第三篇规定的内容作出响应。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4" w:type="dxa"/>
            <w:vAlign w:val="center"/>
          </w:tcPr>
          <w:p>
            <w:pPr>
              <w:snapToGrid w:val="0"/>
              <w:jc w:val="center"/>
              <w:rPr>
                <w:rFonts w:ascii="宋体" w:hAnsi="宋体" w:cs="仿宋"/>
                <w:sz w:val="21"/>
                <w:szCs w:val="21"/>
                <w:lang w:val="zh-CN"/>
              </w:rPr>
            </w:pPr>
            <w:r>
              <w:rPr>
                <w:rFonts w:hint="eastAsia" w:ascii="宋体" w:hAnsi="宋体" w:cs="仿宋"/>
                <w:sz w:val="21"/>
                <w:szCs w:val="21"/>
                <w:lang w:val="zh-CN"/>
              </w:rPr>
              <w:t>5</w:t>
            </w:r>
          </w:p>
        </w:tc>
        <w:tc>
          <w:tcPr>
            <w:tcW w:w="1486" w:type="dxa"/>
            <w:vAlign w:val="center"/>
          </w:tcPr>
          <w:p>
            <w:pPr>
              <w:snapToGrid w:val="0"/>
              <w:rPr>
                <w:rFonts w:ascii="宋体" w:hAnsi="宋体" w:cs="仿宋"/>
                <w:sz w:val="21"/>
                <w:szCs w:val="21"/>
                <w:lang w:val="zh-CN"/>
              </w:rPr>
            </w:pPr>
            <w:r>
              <w:rPr>
                <w:rFonts w:hint="eastAsia" w:ascii="宋体" w:hAnsi="宋体" w:cs="仿宋"/>
                <w:sz w:val="21"/>
                <w:szCs w:val="21"/>
                <w:lang w:val="zh-CN"/>
              </w:rPr>
              <w:t>投标有效期</w:t>
            </w:r>
          </w:p>
        </w:tc>
        <w:tc>
          <w:tcPr>
            <w:tcW w:w="1677" w:type="dxa"/>
            <w:vAlign w:val="center"/>
          </w:tcPr>
          <w:p>
            <w:pPr>
              <w:snapToGrid w:val="0"/>
              <w:rPr>
                <w:rFonts w:ascii="宋体" w:hAnsi="宋体" w:cs="仿宋"/>
                <w:sz w:val="21"/>
                <w:szCs w:val="21"/>
                <w:lang w:val="zh-CN"/>
              </w:rPr>
            </w:pPr>
            <w:r>
              <w:rPr>
                <w:rFonts w:hint="eastAsia" w:ascii="宋体" w:hAnsi="宋体" w:cs="仿宋"/>
                <w:sz w:val="21"/>
                <w:szCs w:val="21"/>
                <w:lang w:val="zh-CN"/>
              </w:rPr>
              <w:t>投标文件内容</w:t>
            </w:r>
          </w:p>
        </w:tc>
        <w:tc>
          <w:tcPr>
            <w:tcW w:w="4378" w:type="dxa"/>
            <w:vAlign w:val="center"/>
          </w:tcPr>
          <w:p>
            <w:pPr>
              <w:snapToGrid w:val="0"/>
              <w:rPr>
                <w:rFonts w:ascii="宋体" w:hAnsi="宋体" w:cs="仿宋"/>
                <w:sz w:val="21"/>
                <w:szCs w:val="21"/>
                <w:lang w:val="zh-CN"/>
              </w:rPr>
            </w:pPr>
            <w:r>
              <w:rPr>
                <w:rFonts w:hint="eastAsia" w:ascii="宋体" w:hAnsi="宋体" w:cs="仿宋"/>
                <w:sz w:val="21"/>
                <w:szCs w:val="21"/>
                <w:lang w:val="zh-CN"/>
              </w:rPr>
              <w:t>投标有效期为投标截止日期后九十天内</w:t>
            </w:r>
          </w:p>
        </w:tc>
      </w:tr>
    </w:tbl>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法定代表人授权代表签字，其澄清的内容不得超出投标文件的范围或者改变投标文件的实质性内容。</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（三）比较与评价。按招标文件中规定的评标方法和标准，对资格审查和符合性审查合格的投标文件进行商务和服务评估。</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复核后，评标委员会汇总每个投标人每项评分因素的得分。</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（四）推荐中标候选人名单。</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按评审后得分由高到低的排列顺序推荐综合得分排名前三的投标人为本分包（项目）中标候选人，排名第一的为第一中标候选人。得分相同的，按投标报价由低到高顺序排列。得分且投标报价相同的并列。</w:t>
      </w:r>
    </w:p>
    <w:p>
      <w:pPr>
        <w:pStyle w:val="3"/>
        <w:spacing w:before="0" w:after="0" w:line="390" w:lineRule="exact"/>
        <w:rPr>
          <w:rFonts w:ascii="黑体" w:eastAsia="黑体"/>
          <w:color w:val="000000"/>
          <w:sz w:val="24"/>
          <w:szCs w:val="24"/>
        </w:rPr>
      </w:pPr>
      <w:r>
        <w:rPr>
          <w:rFonts w:hint="eastAsia" w:ascii="黑体" w:eastAsia="黑体"/>
          <w:color w:val="000000"/>
          <w:sz w:val="24"/>
          <w:szCs w:val="24"/>
        </w:rPr>
        <w:t>三、成交原则</w:t>
      </w:r>
    </w:p>
    <w:p>
      <w:pPr>
        <w:snapToGrid w:val="0"/>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1、评审办法</w:t>
      </w:r>
    </w:p>
    <w:p>
      <w:pPr>
        <w:snapToGrid w:val="0"/>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1.1磋商小组将依照本竞争性磋商文件相关规定对服务和商务需求均能满足竞争性磋商实质性响应要求的供应商所提交的最后报价及相关资料进行综合评审，总分100分，其中报价占40%，</w:t>
      </w:r>
      <w:r>
        <w:rPr>
          <w:rFonts w:hint="eastAsia" w:ascii="宋体" w:hAnsi="宋体" w:cs="宋体"/>
          <w:kern w:val="0"/>
          <w:sz w:val="21"/>
          <w:szCs w:val="21"/>
        </w:rPr>
        <w:t>服务</w:t>
      </w:r>
      <w:r>
        <w:rPr>
          <w:rFonts w:hint="eastAsia" w:ascii="黑体" w:hAnsi="宋体" w:eastAsia="黑体"/>
          <w:color w:val="000000"/>
          <w:sz w:val="24"/>
          <w:szCs w:val="24"/>
        </w:rPr>
        <w:t>部分占35%，商务部分占25%。按综合评审得分由高到低的顺序提出成交候选人，并编写评审报告。</w:t>
      </w:r>
    </w:p>
    <w:p>
      <w:pPr>
        <w:snapToGrid w:val="0"/>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1.2综合评分标准：</w:t>
      </w:r>
    </w:p>
    <w:p>
      <w:pPr>
        <w:snapToGrid w:val="0"/>
        <w:spacing w:line="400" w:lineRule="exact"/>
        <w:ind w:firstLine="480" w:firstLineChars="200"/>
        <w:rPr>
          <w:rFonts w:ascii="宋体" w:hAnsi="宋体" w:cs="仿宋"/>
          <w:sz w:val="24"/>
          <w:szCs w:val="24"/>
        </w:rPr>
      </w:pPr>
      <w:r>
        <w:rPr>
          <w:rFonts w:hint="eastAsia" w:ascii="宋体" w:hAnsi="宋体" w:cs="仿宋"/>
          <w:sz w:val="24"/>
          <w:szCs w:val="24"/>
        </w:rPr>
        <w:t>（一）评审因素</w:t>
      </w:r>
    </w:p>
    <w:tbl>
      <w:tblPr>
        <w:tblStyle w:val="14"/>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095"/>
        <w:gridCol w:w="1276"/>
        <w:gridCol w:w="4709"/>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ind w:firstLine="28"/>
              <w:jc w:val="center"/>
              <w:rPr>
                <w:rFonts w:ascii="宋体" w:hAnsi="宋体" w:cs="仿宋"/>
                <w:b/>
                <w:sz w:val="21"/>
                <w:szCs w:val="21"/>
              </w:rPr>
            </w:pPr>
            <w:r>
              <w:rPr>
                <w:rFonts w:hint="eastAsia" w:ascii="宋体" w:hAnsi="宋体" w:cs="仿宋"/>
                <w:b/>
                <w:sz w:val="21"/>
                <w:szCs w:val="21"/>
              </w:rPr>
              <w:t>序号</w:t>
            </w:r>
          </w:p>
        </w:tc>
        <w:tc>
          <w:tcPr>
            <w:tcW w:w="1095" w:type="dxa"/>
            <w:vAlign w:val="center"/>
          </w:tcPr>
          <w:p>
            <w:pPr>
              <w:ind w:firstLine="28"/>
              <w:jc w:val="center"/>
              <w:rPr>
                <w:rFonts w:ascii="宋体" w:hAnsi="宋体" w:cs="仿宋"/>
                <w:b/>
                <w:sz w:val="21"/>
                <w:szCs w:val="21"/>
              </w:rPr>
            </w:pPr>
            <w:r>
              <w:rPr>
                <w:rFonts w:hint="eastAsia" w:ascii="宋体" w:hAnsi="宋体" w:cs="仿宋"/>
                <w:b/>
                <w:sz w:val="21"/>
                <w:szCs w:val="21"/>
              </w:rPr>
              <w:t>评分因素及权重</w:t>
            </w:r>
          </w:p>
        </w:tc>
        <w:tc>
          <w:tcPr>
            <w:tcW w:w="1276" w:type="dxa"/>
            <w:vAlign w:val="center"/>
          </w:tcPr>
          <w:p>
            <w:pPr>
              <w:ind w:firstLine="28"/>
              <w:jc w:val="center"/>
              <w:rPr>
                <w:rFonts w:ascii="宋体" w:hAnsi="宋体" w:cs="仿宋"/>
                <w:b/>
                <w:sz w:val="21"/>
                <w:szCs w:val="21"/>
              </w:rPr>
            </w:pPr>
            <w:r>
              <w:rPr>
                <w:rFonts w:hint="eastAsia" w:ascii="宋体" w:hAnsi="宋体" w:cs="仿宋"/>
                <w:b/>
                <w:sz w:val="21"/>
                <w:szCs w:val="21"/>
              </w:rPr>
              <w:t>分值</w:t>
            </w:r>
          </w:p>
        </w:tc>
        <w:tc>
          <w:tcPr>
            <w:tcW w:w="4709" w:type="dxa"/>
            <w:vAlign w:val="center"/>
          </w:tcPr>
          <w:p>
            <w:pPr>
              <w:ind w:firstLine="28"/>
              <w:jc w:val="center"/>
              <w:rPr>
                <w:rFonts w:ascii="宋体" w:hAnsi="宋体" w:cs="仿宋"/>
                <w:b/>
                <w:sz w:val="21"/>
                <w:szCs w:val="21"/>
              </w:rPr>
            </w:pPr>
            <w:r>
              <w:rPr>
                <w:rFonts w:hint="eastAsia" w:ascii="宋体" w:hAnsi="宋体" w:cs="仿宋"/>
                <w:b/>
                <w:sz w:val="21"/>
                <w:szCs w:val="21"/>
              </w:rPr>
              <w:t>评分标准</w:t>
            </w:r>
          </w:p>
        </w:tc>
        <w:tc>
          <w:tcPr>
            <w:tcW w:w="1953" w:type="dxa"/>
            <w:vAlign w:val="center"/>
          </w:tcPr>
          <w:p>
            <w:pPr>
              <w:pStyle w:val="30"/>
              <w:spacing w:before="0" w:after="0" w:line="240" w:lineRule="auto"/>
              <w:rPr>
                <w:rFonts w:ascii="宋体" w:hAnsi="宋体" w:eastAsia="宋体" w:cs="仿宋"/>
                <w:sz w:val="21"/>
                <w:szCs w:val="21"/>
              </w:rPr>
            </w:pPr>
            <w:r>
              <w:rPr>
                <w:rFonts w:hint="eastAsia" w:ascii="宋体" w:hAnsi="宋体" w:eastAsia="宋体" w:cs="仿宋"/>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ind w:firstLine="28"/>
              <w:jc w:val="center"/>
              <w:rPr>
                <w:rFonts w:ascii="宋体" w:hAnsi="宋体" w:cs="仿宋"/>
                <w:sz w:val="21"/>
                <w:szCs w:val="21"/>
              </w:rPr>
            </w:pPr>
            <w:r>
              <w:rPr>
                <w:rFonts w:hint="eastAsia" w:ascii="宋体" w:hAnsi="宋体" w:cs="仿宋"/>
                <w:sz w:val="21"/>
                <w:szCs w:val="21"/>
              </w:rPr>
              <w:t>1</w:t>
            </w:r>
          </w:p>
        </w:tc>
        <w:tc>
          <w:tcPr>
            <w:tcW w:w="1095" w:type="dxa"/>
            <w:vAlign w:val="center"/>
          </w:tcPr>
          <w:p>
            <w:pPr>
              <w:ind w:firstLine="28"/>
              <w:jc w:val="center"/>
              <w:rPr>
                <w:rFonts w:ascii="宋体" w:hAnsi="宋体" w:cs="仿宋"/>
                <w:sz w:val="21"/>
                <w:szCs w:val="21"/>
              </w:rPr>
            </w:pPr>
            <w:r>
              <w:rPr>
                <w:rFonts w:hint="eastAsia" w:ascii="宋体" w:hAnsi="宋体" w:cs="仿宋"/>
                <w:sz w:val="21"/>
                <w:szCs w:val="21"/>
              </w:rPr>
              <w:t>投标报价</w:t>
            </w:r>
          </w:p>
          <w:p>
            <w:pPr>
              <w:ind w:firstLine="28"/>
              <w:jc w:val="center"/>
              <w:rPr>
                <w:rFonts w:ascii="宋体" w:hAnsi="宋体" w:cs="仿宋"/>
                <w:sz w:val="21"/>
                <w:szCs w:val="21"/>
              </w:rPr>
            </w:pPr>
            <w:r>
              <w:rPr>
                <w:rFonts w:hint="eastAsia" w:ascii="宋体" w:hAnsi="宋体" w:cs="仿宋"/>
                <w:sz w:val="21"/>
                <w:szCs w:val="21"/>
              </w:rPr>
              <w:t>（40%）</w:t>
            </w:r>
          </w:p>
        </w:tc>
        <w:tc>
          <w:tcPr>
            <w:tcW w:w="1276" w:type="dxa"/>
            <w:vAlign w:val="center"/>
          </w:tcPr>
          <w:p>
            <w:pPr>
              <w:ind w:firstLine="28"/>
              <w:jc w:val="center"/>
              <w:rPr>
                <w:rFonts w:ascii="宋体" w:hAnsi="宋体" w:cs="仿宋"/>
                <w:sz w:val="21"/>
                <w:szCs w:val="21"/>
              </w:rPr>
            </w:pPr>
          </w:p>
          <w:p>
            <w:pPr>
              <w:ind w:firstLine="28"/>
              <w:jc w:val="center"/>
              <w:rPr>
                <w:rFonts w:ascii="宋体" w:hAnsi="宋体" w:cs="仿宋"/>
                <w:sz w:val="21"/>
                <w:szCs w:val="21"/>
              </w:rPr>
            </w:pPr>
            <w:r>
              <w:rPr>
                <w:rFonts w:hint="eastAsia" w:ascii="宋体" w:hAnsi="宋体" w:cs="仿宋"/>
                <w:sz w:val="21"/>
                <w:szCs w:val="21"/>
              </w:rPr>
              <w:t>40分</w:t>
            </w:r>
          </w:p>
          <w:p>
            <w:pPr>
              <w:ind w:firstLine="28"/>
              <w:jc w:val="center"/>
              <w:rPr>
                <w:rFonts w:ascii="宋体" w:hAnsi="宋体" w:cs="仿宋"/>
                <w:sz w:val="21"/>
                <w:szCs w:val="21"/>
              </w:rPr>
            </w:pPr>
          </w:p>
        </w:tc>
        <w:tc>
          <w:tcPr>
            <w:tcW w:w="4709" w:type="dxa"/>
            <w:vAlign w:val="center"/>
          </w:tcPr>
          <w:p>
            <w:pPr>
              <w:ind w:firstLine="420" w:firstLineChars="200"/>
              <w:rPr>
                <w:rFonts w:ascii="宋体" w:hAnsi="宋体" w:cs="仿宋"/>
                <w:sz w:val="21"/>
                <w:szCs w:val="21"/>
              </w:rPr>
            </w:pPr>
            <w:r>
              <w:rPr>
                <w:rFonts w:hint="eastAsia" w:ascii="宋体" w:hAnsi="宋体" w:cs="仿宋"/>
                <w:sz w:val="21"/>
                <w:szCs w:val="21"/>
              </w:rPr>
              <w:t>有效的投标报价中的最低价为评标基准价，按照下列公式计算每个响应投标人的投标价格得分。</w:t>
            </w:r>
          </w:p>
          <w:p>
            <w:pPr>
              <w:ind w:firstLine="420" w:firstLineChars="200"/>
              <w:rPr>
                <w:rFonts w:ascii="宋体" w:hAnsi="宋体" w:cs="仿宋"/>
                <w:sz w:val="21"/>
                <w:szCs w:val="21"/>
              </w:rPr>
            </w:pPr>
            <w:r>
              <w:rPr>
                <w:rFonts w:hint="eastAsia" w:ascii="宋体" w:hAnsi="宋体" w:cs="仿宋"/>
                <w:sz w:val="21"/>
                <w:szCs w:val="21"/>
              </w:rPr>
              <w:t>投标报价得分＝（评标基准价/投标报价）×40%×100。</w:t>
            </w:r>
          </w:p>
          <w:p>
            <w:pPr>
              <w:ind w:firstLine="420" w:firstLineChars="200"/>
              <w:rPr>
                <w:rFonts w:ascii="宋体" w:hAnsi="宋体" w:cs="仿宋"/>
                <w:sz w:val="21"/>
                <w:szCs w:val="21"/>
              </w:rPr>
            </w:pPr>
            <w:r>
              <w:rPr>
                <w:rFonts w:hint="eastAsia" w:ascii="宋体" w:hAnsi="宋体" w:cs="宋体"/>
                <w:kern w:val="0"/>
                <w:sz w:val="21"/>
                <w:szCs w:val="21"/>
                <w:lang w:val="zh-CN"/>
              </w:rPr>
              <w:t>投标报价得分四舍五入</w:t>
            </w:r>
          </w:p>
        </w:tc>
        <w:tc>
          <w:tcPr>
            <w:tcW w:w="1953" w:type="dxa"/>
            <w:vAlign w:val="center"/>
          </w:tcPr>
          <w:p>
            <w:pPr>
              <w:ind w:left="-38"/>
              <w:rPr>
                <w:rFonts w:ascii="宋体" w:hAnsi="宋体" w:cs="仿宋"/>
                <w:sz w:val="21"/>
                <w:szCs w:val="21"/>
              </w:rPr>
            </w:pPr>
            <w:r>
              <w:rPr>
                <w:rFonts w:hint="eastAsia" w:ascii="仿宋" w:hAnsi="仿宋" w:eastAsia="仿宋"/>
                <w:sz w:val="24"/>
              </w:rPr>
              <w:t>投</w:t>
            </w:r>
            <w:r>
              <w:rPr>
                <w:rFonts w:hint="eastAsia" w:ascii="宋体" w:hAnsi="宋体" w:cs="宋体"/>
                <w:kern w:val="0"/>
                <w:sz w:val="21"/>
                <w:szCs w:val="21"/>
              </w:rPr>
              <w:t>标文件中报价为第一次报价，开标时进行公开唱标，所有投标供应商第二次报价的最低价为评标基准价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82" w:type="dxa"/>
            <w:vMerge w:val="restart"/>
            <w:vAlign w:val="center"/>
          </w:tcPr>
          <w:p>
            <w:pPr>
              <w:ind w:firstLine="28"/>
              <w:jc w:val="center"/>
              <w:rPr>
                <w:rFonts w:ascii="宋体" w:hAnsi="宋体" w:cs="仿宋"/>
                <w:sz w:val="21"/>
                <w:szCs w:val="21"/>
              </w:rPr>
            </w:pPr>
            <w:r>
              <w:rPr>
                <w:rFonts w:hint="eastAsia" w:ascii="宋体" w:hAnsi="宋体" w:cs="仿宋"/>
                <w:sz w:val="21"/>
                <w:szCs w:val="21"/>
              </w:rPr>
              <w:t>2</w:t>
            </w:r>
          </w:p>
        </w:tc>
        <w:tc>
          <w:tcPr>
            <w:tcW w:w="1095" w:type="dxa"/>
            <w:vMerge w:val="restart"/>
            <w:vAlign w:val="center"/>
          </w:tcPr>
          <w:p>
            <w:pPr>
              <w:pStyle w:val="13"/>
              <w:spacing w:beforeAutospacing="0" w:afterAutospacing="0"/>
              <w:rPr>
                <w:color w:val="333333"/>
                <w:sz w:val="18"/>
                <w:szCs w:val="18"/>
                <w:shd w:val="clear" w:color="auto" w:fill="FFFFFF"/>
              </w:rPr>
            </w:pPr>
            <w:r>
              <w:rPr>
                <w:rFonts w:hint="eastAsia"/>
                <w:sz w:val="21"/>
                <w:szCs w:val="21"/>
              </w:rPr>
              <w:t>服务</w:t>
            </w:r>
            <w:r>
              <w:rPr>
                <w:rFonts w:hint="eastAsia"/>
                <w:color w:val="333333"/>
                <w:sz w:val="18"/>
                <w:szCs w:val="18"/>
                <w:shd w:val="clear" w:color="auto" w:fill="FFFFFF"/>
              </w:rPr>
              <w:t>部分</w:t>
            </w:r>
            <w:r>
              <w:rPr>
                <w:rFonts w:hint="eastAsia" w:cs="仿宋"/>
                <w:sz w:val="21"/>
                <w:szCs w:val="21"/>
              </w:rPr>
              <w:t>（35%）</w:t>
            </w:r>
          </w:p>
          <w:p>
            <w:pPr>
              <w:ind w:firstLine="28"/>
              <w:jc w:val="center"/>
              <w:rPr>
                <w:rFonts w:ascii="宋体" w:hAnsi="宋体" w:cs="仿宋"/>
                <w:sz w:val="21"/>
                <w:szCs w:val="21"/>
              </w:rPr>
            </w:pPr>
          </w:p>
        </w:tc>
        <w:tc>
          <w:tcPr>
            <w:tcW w:w="1276" w:type="dxa"/>
            <w:vAlign w:val="center"/>
          </w:tcPr>
          <w:p>
            <w:pPr>
              <w:rPr>
                <w:rFonts w:ascii="宋体" w:hAnsi="宋体" w:cs="仿宋"/>
                <w:sz w:val="21"/>
                <w:szCs w:val="21"/>
              </w:rPr>
            </w:pPr>
            <w:r>
              <w:rPr>
                <w:rFonts w:hint="eastAsia"/>
                <w:color w:val="333333"/>
                <w:sz w:val="18"/>
                <w:szCs w:val="18"/>
                <w:shd w:val="clear" w:color="auto" w:fill="FFFFFF"/>
              </w:rPr>
              <w:t>技术力量（10%）</w:t>
            </w:r>
          </w:p>
        </w:tc>
        <w:tc>
          <w:tcPr>
            <w:tcW w:w="4709" w:type="dxa"/>
            <w:vAlign w:val="center"/>
          </w:tcPr>
          <w:p>
            <w:pPr>
              <w:topLinePunct/>
              <w:autoSpaceDN w:val="0"/>
              <w:adjustRightInd w:val="0"/>
              <w:snapToGrid w:val="0"/>
              <w:spacing w:line="276"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对本服务项目配备</w:t>
            </w:r>
          </w:p>
          <w:p>
            <w:pPr>
              <w:topLinePunct/>
              <w:autoSpaceDN w:val="0"/>
              <w:adjustRightInd w:val="0"/>
              <w:snapToGrid w:val="0"/>
              <w:spacing w:line="276"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1、专业技术人员数，技术员证，每提供一份见证材料评1分，工程师证，每提供一份见证材料评2分，高级工程师证，每提供一份见证材料评3分，至多5分。</w:t>
            </w:r>
          </w:p>
          <w:p>
            <w:pPr>
              <w:topLinePunct/>
              <w:autoSpaceDN w:val="0"/>
              <w:adjustRightInd w:val="0"/>
              <w:snapToGrid w:val="0"/>
              <w:spacing w:line="276"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2、特种作业人员数，每提供一份见证材料评1分，至多5分。</w:t>
            </w:r>
          </w:p>
          <w:p>
            <w:pPr>
              <w:topLinePunct/>
              <w:autoSpaceDN w:val="0"/>
              <w:adjustRightInd w:val="0"/>
              <w:snapToGrid w:val="0"/>
              <w:spacing w:line="276"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提供劳务合同复印件或</w:t>
            </w:r>
            <w:r>
              <w:rPr>
                <w:rFonts w:hint="eastAsia" w:ascii="宋体" w:hAnsi="宋体" w:cs="宋体"/>
                <w:kern w:val="0"/>
                <w:sz w:val="21"/>
                <w:szCs w:val="21"/>
              </w:rPr>
              <w:t>《电梯维修特种作业操作证》</w:t>
            </w:r>
            <w:r>
              <w:rPr>
                <w:rFonts w:hint="eastAsia" w:ascii="宋体" w:hAnsi="宋体" w:cs="宋体"/>
                <w:kern w:val="0"/>
                <w:sz w:val="21"/>
                <w:szCs w:val="21"/>
                <w:lang w:val="zh-CN"/>
              </w:rPr>
              <w:t>资格证书（根据授予时间评定）（盖公章）</w:t>
            </w:r>
          </w:p>
          <w:p>
            <w:pPr>
              <w:topLinePunct/>
              <w:autoSpaceDN w:val="0"/>
              <w:adjustRightInd w:val="0"/>
              <w:snapToGrid w:val="0"/>
              <w:spacing w:line="276" w:lineRule="auto"/>
              <w:ind w:firstLine="420" w:firstLineChars="200"/>
              <w:rPr>
                <w:rFonts w:ascii="宋体" w:hAnsi="宋体" w:cs="宋体"/>
                <w:kern w:val="0"/>
                <w:sz w:val="21"/>
                <w:szCs w:val="21"/>
              </w:rPr>
            </w:pPr>
          </w:p>
        </w:tc>
        <w:tc>
          <w:tcPr>
            <w:tcW w:w="1953" w:type="dxa"/>
            <w:vAlign w:val="center"/>
          </w:tcPr>
          <w:p>
            <w:pPr>
              <w:rPr>
                <w:rFonts w:ascii="宋体" w:hAnsi="宋体" w:cs="仿宋"/>
                <w:sz w:val="21"/>
                <w:szCs w:val="21"/>
              </w:rPr>
            </w:pPr>
            <w:r>
              <w:rPr>
                <w:rFonts w:hint="eastAsia" w:ascii="宋体" w:hAnsi="宋体" w:cs="宋体"/>
                <w:kern w:val="0"/>
                <w:sz w:val="21"/>
                <w:szCs w:val="21"/>
              </w:rPr>
              <w:t>注：投标单位提供</w:t>
            </w:r>
            <w:r>
              <w:rPr>
                <w:rFonts w:hint="eastAsia" w:ascii="宋体" w:hAnsi="宋体" w:cs="宋体"/>
                <w:kern w:val="0"/>
                <w:sz w:val="21"/>
                <w:szCs w:val="21"/>
                <w:lang w:val="zh-CN"/>
              </w:rPr>
              <w:t>专业技术人员操作证复印件盖鲜章，</w:t>
            </w:r>
            <w:r>
              <w:rPr>
                <w:rFonts w:hint="eastAsia" w:ascii="宋体" w:hAnsi="宋体" w:cs="宋体"/>
                <w:kern w:val="0"/>
                <w:sz w:val="21"/>
                <w:szCs w:val="21"/>
              </w:rPr>
              <w:t>和1年以上的社会保险或商业保险等证明资料；</w:t>
            </w:r>
            <w:r>
              <w:rPr>
                <w:rFonts w:hint="eastAsia" w:ascii="宋体" w:hAnsi="宋体" w:cs="宋体"/>
                <w:kern w:val="0"/>
                <w:sz w:val="21"/>
                <w:szCs w:val="21"/>
                <w:lang w:val="zh-CN"/>
              </w:rPr>
              <w:t>及</w:t>
            </w:r>
            <w:r>
              <w:rPr>
                <w:rFonts w:hint="eastAsia" w:ascii="宋体" w:hAnsi="宋体" w:cs="宋体"/>
                <w:kern w:val="0"/>
                <w:sz w:val="21"/>
                <w:szCs w:val="21"/>
              </w:rPr>
              <w:t>提供特种作业人员</w:t>
            </w:r>
            <w:r>
              <w:rPr>
                <w:rFonts w:hint="eastAsia" w:ascii="宋体" w:hAnsi="宋体" w:cs="宋体"/>
                <w:kern w:val="0"/>
                <w:sz w:val="21"/>
                <w:szCs w:val="21"/>
                <w:lang w:val="zh-CN"/>
              </w:rPr>
              <w:t>操作证复印件盖鲜章</w:t>
            </w:r>
            <w:r>
              <w:rPr>
                <w:rFonts w:hint="eastAsia" w:ascii="宋体" w:hAnsi="宋体" w:cs="宋体"/>
                <w:kern w:val="0"/>
                <w:sz w:val="21"/>
                <w:szCs w:val="21"/>
              </w:rPr>
              <w:t>和1年以上的社会保险或商业保险等证明资料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2" w:type="dxa"/>
            <w:vMerge w:val="continue"/>
            <w:vAlign w:val="center"/>
          </w:tcPr>
          <w:p>
            <w:pPr>
              <w:ind w:firstLine="28"/>
              <w:jc w:val="center"/>
              <w:rPr>
                <w:rFonts w:ascii="宋体" w:hAnsi="宋体" w:cs="仿宋"/>
                <w:sz w:val="21"/>
                <w:szCs w:val="21"/>
              </w:rPr>
            </w:pPr>
          </w:p>
        </w:tc>
        <w:tc>
          <w:tcPr>
            <w:tcW w:w="1095" w:type="dxa"/>
            <w:vMerge w:val="continue"/>
            <w:vAlign w:val="center"/>
          </w:tcPr>
          <w:p>
            <w:pPr>
              <w:ind w:firstLine="28"/>
              <w:jc w:val="center"/>
              <w:rPr>
                <w:rFonts w:ascii="宋体" w:hAnsi="宋体" w:cs="仿宋"/>
                <w:sz w:val="21"/>
                <w:szCs w:val="21"/>
              </w:rPr>
            </w:pPr>
          </w:p>
        </w:tc>
        <w:tc>
          <w:tcPr>
            <w:tcW w:w="1276" w:type="dxa"/>
            <w:vAlign w:val="center"/>
          </w:tcPr>
          <w:p>
            <w:pPr>
              <w:rPr>
                <w:rFonts w:ascii="宋体" w:hAnsi="宋体" w:cs="宋体"/>
                <w:kern w:val="0"/>
                <w:sz w:val="21"/>
                <w:szCs w:val="21"/>
              </w:rPr>
            </w:pPr>
            <w:r>
              <w:rPr>
                <w:rFonts w:hint="eastAsia"/>
                <w:color w:val="333333"/>
                <w:sz w:val="18"/>
                <w:szCs w:val="18"/>
                <w:shd w:val="clear" w:color="auto" w:fill="FFFFFF"/>
              </w:rPr>
              <w:t>安全文明生产作业方案（10%）</w:t>
            </w:r>
          </w:p>
        </w:tc>
        <w:tc>
          <w:tcPr>
            <w:tcW w:w="4709" w:type="dxa"/>
            <w:vAlign w:val="center"/>
          </w:tcPr>
          <w:p>
            <w:pPr>
              <w:pStyle w:val="13"/>
              <w:spacing w:before="0" w:beforeAutospacing="0" w:after="0" w:afterAutospacing="0"/>
              <w:rPr>
                <w:sz w:val="21"/>
                <w:szCs w:val="21"/>
                <w:lang w:val="zh-CN"/>
              </w:rPr>
            </w:pPr>
            <w:r>
              <w:rPr>
                <w:rFonts w:hint="eastAsia"/>
                <w:sz w:val="21"/>
                <w:szCs w:val="21"/>
                <w:lang w:val="zh-CN"/>
              </w:rPr>
              <w:t>安全文明生产作业方案最高得（10分）</w:t>
            </w:r>
          </w:p>
          <w:p>
            <w:pPr>
              <w:pStyle w:val="13"/>
              <w:spacing w:before="0" w:beforeAutospacing="0" w:after="0" w:afterAutospacing="0"/>
              <w:rPr>
                <w:sz w:val="21"/>
                <w:szCs w:val="21"/>
                <w:lang w:val="zh-CN"/>
              </w:rPr>
            </w:pPr>
            <w:r>
              <w:rPr>
                <w:rFonts w:hint="eastAsia"/>
                <w:sz w:val="21"/>
                <w:szCs w:val="21"/>
                <w:lang w:val="zh-CN"/>
              </w:rPr>
              <w:t>1.没有安全文明生产作业保障方案，不得分；</w:t>
            </w:r>
          </w:p>
          <w:p>
            <w:pPr>
              <w:pStyle w:val="13"/>
              <w:spacing w:before="0" w:beforeAutospacing="0" w:after="0" w:afterAutospacing="0"/>
              <w:rPr>
                <w:sz w:val="21"/>
                <w:szCs w:val="21"/>
                <w:lang w:val="zh-CN"/>
              </w:rPr>
            </w:pPr>
            <w:r>
              <w:rPr>
                <w:rFonts w:hint="eastAsia"/>
                <w:sz w:val="21"/>
                <w:szCs w:val="21"/>
                <w:lang w:val="zh-CN"/>
              </w:rPr>
              <w:t>2.有安全文明生产作业保障方案，但内容不全，结合实际不强，得 6分；</w:t>
            </w:r>
          </w:p>
          <w:p>
            <w:pPr>
              <w:pStyle w:val="13"/>
              <w:spacing w:before="0" w:beforeAutospacing="0" w:after="0" w:afterAutospacing="0"/>
              <w:rPr>
                <w:sz w:val="21"/>
                <w:szCs w:val="21"/>
                <w:lang w:val="zh-CN"/>
              </w:rPr>
            </w:pPr>
            <w:r>
              <w:rPr>
                <w:rFonts w:hint="eastAsia"/>
                <w:sz w:val="21"/>
                <w:szCs w:val="21"/>
                <w:lang w:val="zh-CN"/>
              </w:rPr>
              <w:t>3.有安全文明生产作业保障方案，且内容基本全面，结合实际较强，得 8分；</w:t>
            </w:r>
          </w:p>
          <w:p>
            <w:pPr>
              <w:rPr>
                <w:rFonts w:ascii="宋体" w:hAnsi="宋体" w:cs="宋体"/>
                <w:kern w:val="0"/>
                <w:sz w:val="21"/>
                <w:szCs w:val="21"/>
                <w:lang w:val="zh-CN"/>
              </w:rPr>
            </w:pPr>
            <w:r>
              <w:rPr>
                <w:rFonts w:hint="eastAsia" w:ascii="宋体" w:hAnsi="宋体" w:cs="宋体"/>
                <w:kern w:val="0"/>
                <w:sz w:val="21"/>
                <w:szCs w:val="21"/>
                <w:lang w:val="zh-CN"/>
              </w:rPr>
              <w:t>4.有安全文明生产作业保障方案，内容完整健全、结合实际、科学实用，得10分。</w:t>
            </w:r>
          </w:p>
        </w:tc>
        <w:tc>
          <w:tcPr>
            <w:tcW w:w="1953" w:type="dxa"/>
            <w:vMerge w:val="restart"/>
            <w:vAlign w:val="center"/>
          </w:tcPr>
          <w:p>
            <w:pPr>
              <w:rPr>
                <w:rFonts w:ascii="宋体" w:hAnsi="宋体" w:cs="仿宋"/>
                <w:sz w:val="21"/>
                <w:szCs w:val="21"/>
              </w:rPr>
            </w:pPr>
          </w:p>
          <w:p>
            <w:pPr>
              <w:rPr>
                <w:rFonts w:ascii="宋体"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2" w:type="dxa"/>
            <w:vMerge w:val="continue"/>
            <w:vAlign w:val="center"/>
          </w:tcPr>
          <w:p>
            <w:pPr>
              <w:ind w:firstLine="28"/>
              <w:jc w:val="center"/>
              <w:rPr>
                <w:rFonts w:ascii="宋体" w:hAnsi="宋体" w:cs="仿宋"/>
                <w:sz w:val="21"/>
                <w:szCs w:val="21"/>
              </w:rPr>
            </w:pPr>
          </w:p>
        </w:tc>
        <w:tc>
          <w:tcPr>
            <w:tcW w:w="1095" w:type="dxa"/>
            <w:vMerge w:val="continue"/>
            <w:vAlign w:val="center"/>
          </w:tcPr>
          <w:p>
            <w:pPr>
              <w:ind w:firstLine="28"/>
              <w:jc w:val="center"/>
              <w:rPr>
                <w:rFonts w:ascii="宋体" w:hAnsi="宋体" w:cs="仿宋"/>
                <w:sz w:val="21"/>
                <w:szCs w:val="21"/>
              </w:rPr>
            </w:pPr>
          </w:p>
        </w:tc>
        <w:tc>
          <w:tcPr>
            <w:tcW w:w="1276" w:type="dxa"/>
            <w:vMerge w:val="restart"/>
            <w:vAlign w:val="center"/>
          </w:tcPr>
          <w:p>
            <w:pPr>
              <w:rPr>
                <w:rFonts w:ascii="宋体" w:hAnsi="宋体" w:cs="仿宋"/>
                <w:sz w:val="21"/>
                <w:szCs w:val="21"/>
              </w:rPr>
            </w:pPr>
            <w:r>
              <w:rPr>
                <w:rFonts w:hint="eastAsia" w:ascii="宋体" w:hAnsi="宋体" w:cs="宋体"/>
                <w:kern w:val="0"/>
                <w:sz w:val="21"/>
                <w:szCs w:val="21"/>
              </w:rPr>
              <w:t>服务体系及应急预案（7分）</w:t>
            </w:r>
          </w:p>
        </w:tc>
        <w:tc>
          <w:tcPr>
            <w:tcW w:w="4709" w:type="dxa"/>
            <w:vMerge w:val="restart"/>
            <w:vAlign w:val="center"/>
          </w:tcPr>
          <w:p>
            <w:pPr>
              <w:rPr>
                <w:rFonts w:ascii="宋体" w:hAnsi="宋体" w:cs="宋体"/>
                <w:kern w:val="0"/>
                <w:sz w:val="21"/>
                <w:szCs w:val="21"/>
                <w:lang w:val="zh-CN"/>
              </w:rPr>
            </w:pPr>
            <w:r>
              <w:rPr>
                <w:rFonts w:hint="eastAsia" w:ascii="宋体" w:hAnsi="宋体" w:cs="宋体"/>
                <w:kern w:val="0"/>
                <w:sz w:val="21"/>
                <w:szCs w:val="21"/>
                <w:lang w:val="zh-CN"/>
              </w:rPr>
              <w:t>1、设立24小时服务电话的得2分。</w:t>
            </w:r>
          </w:p>
          <w:p>
            <w:pPr>
              <w:pStyle w:val="13"/>
              <w:spacing w:before="0" w:beforeAutospacing="0" w:after="0" w:afterAutospacing="0"/>
              <w:rPr>
                <w:sz w:val="21"/>
                <w:szCs w:val="21"/>
                <w:lang w:val="zh-CN"/>
              </w:rPr>
            </w:pPr>
            <w:r>
              <w:rPr>
                <w:rFonts w:hint="eastAsia"/>
                <w:sz w:val="21"/>
                <w:szCs w:val="21"/>
                <w:lang w:val="zh-CN"/>
              </w:rPr>
              <w:t>应急抢险方案最高得（5分）</w:t>
            </w:r>
          </w:p>
          <w:p>
            <w:pPr>
              <w:pStyle w:val="13"/>
              <w:spacing w:before="0" w:beforeAutospacing="0" w:after="0" w:afterAutospacing="0"/>
              <w:rPr>
                <w:sz w:val="21"/>
                <w:szCs w:val="21"/>
                <w:lang w:val="zh-CN"/>
              </w:rPr>
            </w:pPr>
            <w:r>
              <w:rPr>
                <w:rFonts w:hint="eastAsia"/>
                <w:sz w:val="21"/>
                <w:szCs w:val="21"/>
                <w:lang w:val="zh-CN"/>
              </w:rPr>
              <w:t>2.没有应急抢险预案，不得分；</w:t>
            </w:r>
          </w:p>
          <w:p>
            <w:pPr>
              <w:pStyle w:val="13"/>
              <w:spacing w:before="0" w:beforeAutospacing="0" w:after="0" w:afterAutospacing="0"/>
              <w:rPr>
                <w:sz w:val="21"/>
                <w:szCs w:val="21"/>
                <w:lang w:val="zh-CN"/>
              </w:rPr>
            </w:pPr>
            <w:r>
              <w:rPr>
                <w:rFonts w:hint="eastAsia"/>
                <w:sz w:val="21"/>
                <w:szCs w:val="21"/>
                <w:lang w:val="zh-CN"/>
              </w:rPr>
              <w:t>3.有应急抢险预案的，但不全面、操作性一般，得2分；</w:t>
            </w:r>
          </w:p>
          <w:p>
            <w:pPr>
              <w:pStyle w:val="13"/>
              <w:spacing w:before="0" w:beforeAutospacing="0" w:after="0" w:afterAutospacing="0"/>
              <w:rPr>
                <w:sz w:val="21"/>
                <w:szCs w:val="21"/>
                <w:lang w:val="zh-CN"/>
              </w:rPr>
            </w:pPr>
            <w:r>
              <w:rPr>
                <w:rFonts w:hint="eastAsia"/>
                <w:sz w:val="21"/>
                <w:szCs w:val="21"/>
                <w:lang w:val="zh-CN"/>
              </w:rPr>
              <w:t>4.有应急抢险预案的，但基本全面、操作性较强，但还存在不足，得3分；</w:t>
            </w:r>
          </w:p>
          <w:p>
            <w:pPr>
              <w:rPr>
                <w:rFonts w:ascii="宋体" w:hAnsi="宋体" w:cs="宋体"/>
                <w:kern w:val="0"/>
                <w:sz w:val="21"/>
                <w:szCs w:val="21"/>
                <w:lang w:val="zh-CN"/>
              </w:rPr>
            </w:pPr>
            <w:r>
              <w:rPr>
                <w:rFonts w:hint="eastAsia" w:ascii="宋体" w:hAnsi="宋体" w:cs="宋体"/>
                <w:kern w:val="0"/>
                <w:sz w:val="21"/>
                <w:szCs w:val="21"/>
                <w:lang w:val="zh-CN"/>
              </w:rPr>
              <w:t>5.有应急抢险预案的，内容完整健全、结合实际、科学实用，得5分</w:t>
            </w:r>
          </w:p>
        </w:tc>
        <w:tc>
          <w:tcPr>
            <w:tcW w:w="1953" w:type="dxa"/>
            <w:vMerge w:val="continue"/>
            <w:vAlign w:val="center"/>
          </w:tcPr>
          <w:p>
            <w:pPr>
              <w:rPr>
                <w:rFonts w:ascii="宋体"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682" w:type="dxa"/>
            <w:vMerge w:val="continue"/>
            <w:vAlign w:val="center"/>
          </w:tcPr>
          <w:p>
            <w:pPr>
              <w:ind w:firstLine="28"/>
              <w:jc w:val="center"/>
              <w:rPr>
                <w:rFonts w:ascii="宋体" w:hAnsi="宋体" w:cs="仿宋"/>
                <w:sz w:val="21"/>
                <w:szCs w:val="21"/>
              </w:rPr>
            </w:pPr>
          </w:p>
        </w:tc>
        <w:tc>
          <w:tcPr>
            <w:tcW w:w="1095" w:type="dxa"/>
            <w:vMerge w:val="continue"/>
            <w:vAlign w:val="center"/>
          </w:tcPr>
          <w:p>
            <w:pPr>
              <w:ind w:firstLine="28"/>
              <w:jc w:val="center"/>
              <w:rPr>
                <w:rFonts w:ascii="宋体" w:hAnsi="宋体" w:cs="仿宋"/>
                <w:sz w:val="21"/>
                <w:szCs w:val="21"/>
              </w:rPr>
            </w:pPr>
          </w:p>
        </w:tc>
        <w:tc>
          <w:tcPr>
            <w:tcW w:w="1276" w:type="dxa"/>
            <w:vMerge w:val="continue"/>
            <w:vAlign w:val="center"/>
          </w:tcPr>
          <w:p>
            <w:pPr>
              <w:rPr>
                <w:rFonts w:ascii="宋体" w:hAnsi="宋体" w:cs="宋体"/>
                <w:kern w:val="0"/>
                <w:sz w:val="21"/>
                <w:szCs w:val="21"/>
              </w:rPr>
            </w:pPr>
          </w:p>
        </w:tc>
        <w:tc>
          <w:tcPr>
            <w:tcW w:w="4709" w:type="dxa"/>
            <w:vMerge w:val="continue"/>
            <w:vAlign w:val="center"/>
          </w:tcPr>
          <w:p>
            <w:pPr>
              <w:numPr>
                <w:ilvl w:val="0"/>
                <w:numId w:val="2"/>
              </w:numPr>
              <w:ind w:firstLine="315" w:firstLineChars="150"/>
              <w:rPr>
                <w:rFonts w:ascii="宋体" w:hAnsi="宋体" w:cs="宋体"/>
                <w:kern w:val="0"/>
                <w:sz w:val="21"/>
                <w:szCs w:val="21"/>
                <w:lang w:val="zh-CN"/>
              </w:rPr>
            </w:pPr>
          </w:p>
        </w:tc>
        <w:tc>
          <w:tcPr>
            <w:tcW w:w="1953" w:type="dxa"/>
            <w:vAlign w:val="center"/>
          </w:tcPr>
          <w:p>
            <w:pPr>
              <w:pStyle w:val="13"/>
              <w:spacing w:before="0" w:beforeAutospacing="0" w:after="0" w:afterAutospacing="0"/>
              <w:jc w:val="both"/>
              <w:rPr>
                <w:color w:val="333333"/>
                <w:sz w:val="18"/>
                <w:szCs w:val="18"/>
                <w:shd w:val="clear" w:color="auto" w:fill="FFFFFF"/>
              </w:rPr>
            </w:pPr>
            <w:r>
              <w:rPr>
                <w:rFonts w:hint="eastAsia"/>
                <w:color w:val="333333"/>
                <w:sz w:val="18"/>
                <w:szCs w:val="18"/>
                <w:shd w:val="clear" w:color="auto" w:fill="FFFFFF"/>
              </w:rPr>
              <w:t>本项目实际，制定应急抢险预案。内容必须包含：</w:t>
            </w:r>
          </w:p>
          <w:p>
            <w:pPr>
              <w:pStyle w:val="13"/>
              <w:spacing w:before="0" w:beforeAutospacing="0" w:after="0" w:afterAutospacing="0"/>
              <w:jc w:val="both"/>
              <w:rPr>
                <w:color w:val="333333"/>
                <w:sz w:val="18"/>
                <w:szCs w:val="18"/>
                <w:shd w:val="clear" w:color="auto" w:fill="FFFFFF"/>
              </w:rPr>
            </w:pPr>
            <w:r>
              <w:rPr>
                <w:rFonts w:hint="eastAsia"/>
                <w:color w:val="333333"/>
                <w:sz w:val="18"/>
                <w:szCs w:val="18"/>
                <w:shd w:val="clear" w:color="auto" w:fill="FFFFFF"/>
              </w:rPr>
              <w:t>1.应急人员配备；</w:t>
            </w:r>
          </w:p>
          <w:p>
            <w:pPr>
              <w:pStyle w:val="13"/>
              <w:spacing w:before="0" w:beforeAutospacing="0" w:after="0" w:afterAutospacing="0"/>
              <w:jc w:val="both"/>
              <w:rPr>
                <w:color w:val="333333"/>
                <w:sz w:val="18"/>
                <w:szCs w:val="18"/>
                <w:shd w:val="clear" w:color="auto" w:fill="FFFFFF"/>
              </w:rPr>
            </w:pPr>
            <w:r>
              <w:rPr>
                <w:rFonts w:hint="eastAsia"/>
                <w:color w:val="333333"/>
                <w:sz w:val="18"/>
                <w:szCs w:val="18"/>
                <w:shd w:val="clear" w:color="auto" w:fill="FFFFFF"/>
              </w:rPr>
              <w:t>2.应急车辆和机具配置；</w:t>
            </w:r>
          </w:p>
          <w:p>
            <w:pPr>
              <w:rPr>
                <w:rFonts w:ascii="宋体" w:hAnsi="宋体" w:cs="仿宋"/>
                <w:sz w:val="21"/>
                <w:szCs w:val="21"/>
              </w:rPr>
            </w:pPr>
            <w:r>
              <w:rPr>
                <w:rFonts w:hint="eastAsia"/>
                <w:color w:val="333333"/>
                <w:sz w:val="18"/>
                <w:szCs w:val="18"/>
                <w:shd w:val="clear" w:color="auto" w:fill="FFFFFF"/>
              </w:rPr>
              <w:t>3.应急抢险处置流程。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82" w:type="dxa"/>
            <w:vMerge w:val="continue"/>
            <w:vAlign w:val="center"/>
          </w:tcPr>
          <w:p>
            <w:pPr>
              <w:ind w:firstLine="28"/>
              <w:jc w:val="center"/>
              <w:rPr>
                <w:rFonts w:ascii="宋体" w:hAnsi="宋体" w:cs="仿宋"/>
                <w:sz w:val="21"/>
                <w:szCs w:val="21"/>
              </w:rPr>
            </w:pPr>
          </w:p>
        </w:tc>
        <w:tc>
          <w:tcPr>
            <w:tcW w:w="1095" w:type="dxa"/>
            <w:vMerge w:val="continue"/>
            <w:vAlign w:val="center"/>
          </w:tcPr>
          <w:p>
            <w:pPr>
              <w:ind w:firstLine="28"/>
              <w:jc w:val="center"/>
              <w:rPr>
                <w:rFonts w:ascii="宋体" w:hAnsi="宋体" w:cs="仿宋"/>
                <w:sz w:val="21"/>
                <w:szCs w:val="21"/>
              </w:rPr>
            </w:pPr>
          </w:p>
        </w:tc>
        <w:tc>
          <w:tcPr>
            <w:tcW w:w="1276" w:type="dxa"/>
            <w:vAlign w:val="center"/>
          </w:tcPr>
          <w:p>
            <w:pPr>
              <w:topLinePunct/>
              <w:autoSpaceDN w:val="0"/>
              <w:adjustRightInd w:val="0"/>
              <w:snapToGrid w:val="0"/>
              <w:spacing w:line="276" w:lineRule="auto"/>
              <w:jc w:val="center"/>
              <w:rPr>
                <w:rFonts w:ascii="宋体" w:hAnsi="宋体" w:cs="宋体"/>
                <w:kern w:val="0"/>
                <w:sz w:val="21"/>
                <w:szCs w:val="21"/>
              </w:rPr>
            </w:pPr>
            <w:r>
              <w:rPr>
                <w:rFonts w:hint="eastAsia" w:ascii="宋体" w:hAnsi="宋体" w:cs="宋体"/>
                <w:kern w:val="0"/>
                <w:sz w:val="21"/>
                <w:szCs w:val="21"/>
              </w:rPr>
              <w:t>制造商技术支持（8分）</w:t>
            </w:r>
          </w:p>
        </w:tc>
        <w:tc>
          <w:tcPr>
            <w:tcW w:w="4709" w:type="dxa"/>
            <w:vAlign w:val="center"/>
          </w:tcPr>
          <w:p>
            <w:pPr>
              <w:ind w:firstLine="315" w:firstLineChars="150"/>
              <w:rPr>
                <w:rFonts w:ascii="宋体" w:hAnsi="宋体" w:cs="宋体"/>
                <w:kern w:val="0"/>
                <w:sz w:val="21"/>
                <w:szCs w:val="21"/>
                <w:lang w:val="zh-CN"/>
              </w:rPr>
            </w:pPr>
            <w:r>
              <w:rPr>
                <w:rFonts w:hint="eastAsia" w:ascii="宋体" w:hAnsi="宋体" w:cs="宋体"/>
                <w:kern w:val="0"/>
                <w:sz w:val="21"/>
                <w:szCs w:val="21"/>
                <w:lang w:val="zh-CN"/>
              </w:rPr>
              <w:t>1、有通力制造商授权的安装或改造或修理的单位（包括原电梯生产制造单位）得4分。</w:t>
            </w:r>
          </w:p>
          <w:p>
            <w:pPr>
              <w:ind w:firstLine="315" w:firstLineChars="150"/>
              <w:rPr>
                <w:rFonts w:ascii="宋体" w:hAnsi="宋体" w:cs="宋体"/>
                <w:kern w:val="0"/>
                <w:sz w:val="21"/>
                <w:szCs w:val="21"/>
                <w:lang w:val="zh-CN"/>
              </w:rPr>
            </w:pPr>
            <w:r>
              <w:rPr>
                <w:rFonts w:hint="eastAsia" w:ascii="宋体" w:hAnsi="宋体" w:cs="宋体"/>
                <w:kern w:val="0"/>
                <w:sz w:val="21"/>
                <w:szCs w:val="21"/>
                <w:lang w:val="zh-CN"/>
              </w:rPr>
              <w:t>2、通力电梯制造商提供技术保障的得4分。</w:t>
            </w:r>
          </w:p>
        </w:tc>
        <w:tc>
          <w:tcPr>
            <w:tcW w:w="1953" w:type="dxa"/>
            <w:vAlign w:val="center"/>
          </w:tcPr>
          <w:p>
            <w:pPr>
              <w:rPr>
                <w:rFonts w:ascii="宋体" w:hAnsi="宋体" w:cs="仿宋"/>
                <w:sz w:val="21"/>
                <w:szCs w:val="21"/>
              </w:rPr>
            </w:pPr>
            <w:r>
              <w:rPr>
                <w:rFonts w:hint="eastAsia" w:ascii="宋体" w:hAnsi="宋体" w:cs="仿宋"/>
                <w:sz w:val="21"/>
                <w:szCs w:val="21"/>
              </w:rPr>
              <w:t>1、提供制造单位授权书盖鲜章</w:t>
            </w:r>
          </w:p>
          <w:p>
            <w:pPr>
              <w:spacing w:line="240" w:lineRule="atLeast"/>
              <w:rPr>
                <w:rFonts w:ascii="方正仿宋_GBK" w:hAnsi="宋体" w:eastAsia="方正仿宋_GBK" w:cs="华文中宋"/>
                <w:sz w:val="21"/>
                <w:szCs w:val="21"/>
              </w:rPr>
            </w:pPr>
            <w:r>
              <w:rPr>
                <w:rFonts w:hint="eastAsia" w:ascii="宋体" w:hAnsi="宋体" w:cs="仿宋"/>
                <w:sz w:val="21"/>
                <w:szCs w:val="21"/>
              </w:rPr>
              <w:t>2、提供通力电梯制造商技术保障支持声明文件盖鲜章。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pPr>
              <w:ind w:firstLine="28"/>
              <w:jc w:val="center"/>
              <w:rPr>
                <w:rFonts w:ascii="宋体" w:hAnsi="宋体" w:cs="仿宋"/>
                <w:sz w:val="21"/>
                <w:szCs w:val="21"/>
              </w:rPr>
            </w:pPr>
            <w:r>
              <w:rPr>
                <w:rFonts w:hint="eastAsia" w:ascii="宋体" w:hAnsi="宋体" w:cs="仿宋"/>
                <w:sz w:val="21"/>
                <w:szCs w:val="21"/>
              </w:rPr>
              <w:t>3</w:t>
            </w:r>
          </w:p>
        </w:tc>
        <w:tc>
          <w:tcPr>
            <w:tcW w:w="1095" w:type="dxa"/>
            <w:vMerge w:val="restart"/>
            <w:vAlign w:val="center"/>
          </w:tcPr>
          <w:p>
            <w:pPr>
              <w:ind w:firstLine="28"/>
              <w:jc w:val="center"/>
              <w:rPr>
                <w:rFonts w:ascii="宋体" w:hAnsi="宋体" w:cs="仿宋"/>
                <w:sz w:val="21"/>
                <w:szCs w:val="21"/>
              </w:rPr>
            </w:pPr>
            <w:r>
              <w:rPr>
                <w:rFonts w:hint="eastAsia" w:ascii="宋体" w:hAnsi="宋体" w:cs="仿宋"/>
                <w:sz w:val="21"/>
                <w:szCs w:val="21"/>
              </w:rPr>
              <w:t>商务部分</w:t>
            </w:r>
          </w:p>
          <w:p>
            <w:pPr>
              <w:ind w:firstLine="28"/>
              <w:jc w:val="center"/>
              <w:rPr>
                <w:rFonts w:ascii="宋体" w:hAnsi="宋体" w:cs="仿宋"/>
                <w:sz w:val="21"/>
                <w:szCs w:val="21"/>
              </w:rPr>
            </w:pPr>
            <w:r>
              <w:rPr>
                <w:rFonts w:hint="eastAsia" w:ascii="宋体" w:hAnsi="宋体" w:cs="仿宋"/>
                <w:sz w:val="21"/>
                <w:szCs w:val="21"/>
              </w:rPr>
              <w:t>（25%）</w:t>
            </w:r>
          </w:p>
        </w:tc>
        <w:tc>
          <w:tcPr>
            <w:tcW w:w="1276" w:type="dxa"/>
            <w:vMerge w:val="restart"/>
            <w:vAlign w:val="center"/>
          </w:tcPr>
          <w:p>
            <w:pPr>
              <w:jc w:val="center"/>
              <w:rPr>
                <w:rFonts w:ascii="宋体" w:hAnsi="宋体" w:cs="仿宋"/>
                <w:sz w:val="21"/>
                <w:szCs w:val="21"/>
              </w:rPr>
            </w:pPr>
            <w:r>
              <w:rPr>
                <w:rFonts w:hint="eastAsia" w:ascii="宋体" w:hAnsi="宋体" w:cs="宋体"/>
                <w:kern w:val="0"/>
                <w:sz w:val="21"/>
                <w:szCs w:val="21"/>
              </w:rPr>
              <w:t>25分</w:t>
            </w:r>
          </w:p>
        </w:tc>
        <w:tc>
          <w:tcPr>
            <w:tcW w:w="4709" w:type="dxa"/>
            <w:vAlign w:val="center"/>
          </w:tcPr>
          <w:p>
            <w:pPr>
              <w:spacing w:line="240" w:lineRule="atLeast"/>
              <w:rPr>
                <w:rFonts w:ascii="宋体" w:hAnsi="宋体" w:cs="宋体"/>
                <w:kern w:val="0"/>
                <w:sz w:val="21"/>
                <w:szCs w:val="21"/>
                <w:lang w:val="zh-CN"/>
              </w:rPr>
            </w:pPr>
            <w:r>
              <w:rPr>
                <w:rFonts w:hint="eastAsia" w:ascii="宋体" w:hAnsi="宋体" w:cs="宋体"/>
                <w:kern w:val="0"/>
                <w:sz w:val="21"/>
                <w:szCs w:val="21"/>
                <w:lang w:val="zh-CN"/>
              </w:rPr>
              <w:t>一、维保业绩（</w:t>
            </w:r>
            <w:r>
              <w:rPr>
                <w:rFonts w:hint="eastAsia" w:ascii="宋体" w:hAnsi="宋体" w:cs="宋体"/>
                <w:kern w:val="0"/>
                <w:sz w:val="21"/>
                <w:szCs w:val="21"/>
              </w:rPr>
              <w:t>10</w:t>
            </w:r>
            <w:r>
              <w:rPr>
                <w:rFonts w:hint="eastAsia" w:ascii="宋体" w:hAnsi="宋体" w:cs="宋体"/>
                <w:kern w:val="0"/>
                <w:sz w:val="21"/>
                <w:szCs w:val="21"/>
                <w:lang w:val="zh-CN"/>
              </w:rPr>
              <w:t>分）</w:t>
            </w:r>
          </w:p>
          <w:p>
            <w:pPr>
              <w:spacing w:line="240" w:lineRule="atLeast"/>
              <w:rPr>
                <w:rFonts w:ascii="宋体" w:hAnsi="宋体" w:cs="宋体"/>
                <w:kern w:val="0"/>
                <w:sz w:val="21"/>
                <w:szCs w:val="21"/>
                <w:lang w:val="zh-CN"/>
              </w:rPr>
            </w:pPr>
            <w:r>
              <w:rPr>
                <w:rFonts w:hint="eastAsia" w:ascii="宋体" w:hAnsi="宋体" w:cs="宋体"/>
                <w:kern w:val="0"/>
                <w:sz w:val="21"/>
                <w:szCs w:val="21"/>
                <w:lang w:val="zh-CN"/>
              </w:rPr>
              <w:t>1、近三年内，维保电梯数量达100台以上500台以内（含500台）得1分，500台以上1000台以内（含1000台）得2分，1000以上2000台以内（含2000台）台得3分,2000以上3000台以内（含3000台）台得4分，3000以上4000台以内（含4000台）台得5分，4000以上5000台以内（含5000台）台得6分，5000以上6000台以内（含6000台）台得7，6000以上7000台以内（含7000台）台得8分，8000以上9000台以内（含9000台）台得9分，超过9000台得10分。（包括分公司，以合同签约台数为准，连续提供维保服务的电梯不重复计算）</w:t>
            </w:r>
          </w:p>
        </w:tc>
        <w:tc>
          <w:tcPr>
            <w:tcW w:w="1953" w:type="dxa"/>
            <w:vAlign w:val="center"/>
          </w:tcPr>
          <w:p>
            <w:pPr>
              <w:spacing w:line="240" w:lineRule="atLeast"/>
              <w:rPr>
                <w:rFonts w:ascii="方正仿宋_GBK" w:hAnsi="宋体" w:eastAsia="方正仿宋_GBK" w:cs="华文中宋"/>
                <w:color w:val="FF0000"/>
                <w:sz w:val="21"/>
                <w:szCs w:val="21"/>
                <w:highlight w:val="yellow"/>
              </w:rPr>
            </w:pPr>
            <w:r>
              <w:rPr>
                <w:rFonts w:hint="eastAsia" w:ascii="方正仿宋_GBK" w:hAnsi="宋体" w:eastAsia="方正仿宋_GBK" w:cs="华文中宋"/>
                <w:sz w:val="21"/>
                <w:szCs w:val="21"/>
              </w:rPr>
              <w:t>提供维保业绩清单盖鲜章及相应3-5份合同复印件盖鲜章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ind w:firstLine="28"/>
              <w:jc w:val="center"/>
              <w:rPr>
                <w:rFonts w:ascii="宋体" w:hAnsi="宋体" w:cs="仿宋"/>
                <w:sz w:val="21"/>
                <w:szCs w:val="21"/>
              </w:rPr>
            </w:pPr>
          </w:p>
        </w:tc>
        <w:tc>
          <w:tcPr>
            <w:tcW w:w="1095" w:type="dxa"/>
            <w:vMerge w:val="continue"/>
            <w:vAlign w:val="center"/>
          </w:tcPr>
          <w:p>
            <w:pPr>
              <w:ind w:firstLine="28"/>
              <w:jc w:val="center"/>
              <w:rPr>
                <w:rFonts w:ascii="宋体" w:hAnsi="宋体" w:cs="仿宋"/>
                <w:sz w:val="21"/>
                <w:szCs w:val="21"/>
              </w:rPr>
            </w:pPr>
          </w:p>
        </w:tc>
        <w:tc>
          <w:tcPr>
            <w:tcW w:w="1276" w:type="dxa"/>
            <w:vMerge w:val="continue"/>
            <w:vAlign w:val="center"/>
          </w:tcPr>
          <w:p>
            <w:pPr>
              <w:jc w:val="center"/>
              <w:rPr>
                <w:rFonts w:ascii="宋体" w:hAnsi="宋体" w:cs="仿宋"/>
                <w:sz w:val="21"/>
                <w:szCs w:val="21"/>
              </w:rPr>
            </w:pPr>
          </w:p>
        </w:tc>
        <w:tc>
          <w:tcPr>
            <w:tcW w:w="4709" w:type="dxa"/>
            <w:vAlign w:val="center"/>
          </w:tcPr>
          <w:p>
            <w:pPr>
              <w:spacing w:line="240" w:lineRule="atLeast"/>
              <w:rPr>
                <w:rFonts w:ascii="宋体" w:hAnsi="宋体" w:cs="宋体"/>
                <w:kern w:val="0"/>
                <w:sz w:val="21"/>
                <w:szCs w:val="21"/>
                <w:lang w:val="zh-CN"/>
              </w:rPr>
            </w:pPr>
            <w:r>
              <w:rPr>
                <w:rFonts w:hint="eastAsia" w:ascii="宋体" w:hAnsi="宋体" w:cs="宋体"/>
                <w:kern w:val="0"/>
                <w:sz w:val="21"/>
                <w:szCs w:val="21"/>
                <w:lang w:val="zh-CN"/>
              </w:rPr>
              <w:t>2、近三年内，投标人从事过三甲医院电梯维保业绩，有1个得3分，投标人从事过二甲医院电梯维保业绩，有1个得2分，本项最高12分。没有的不得分。（包括分公司，以合同签约数为准）</w:t>
            </w:r>
          </w:p>
        </w:tc>
        <w:tc>
          <w:tcPr>
            <w:tcW w:w="1953" w:type="dxa"/>
            <w:vAlign w:val="center"/>
          </w:tcPr>
          <w:p>
            <w:pPr>
              <w:topLinePunct/>
              <w:autoSpaceDN w:val="0"/>
              <w:adjustRightInd w:val="0"/>
              <w:snapToGrid w:val="0"/>
              <w:rPr>
                <w:rFonts w:ascii="宋体" w:hAnsi="宋体" w:cs="宋体"/>
                <w:color w:val="000000" w:themeColor="text1"/>
                <w:kern w:val="0"/>
                <w:sz w:val="21"/>
                <w:szCs w:val="21"/>
              </w:rPr>
            </w:pPr>
            <w:r>
              <w:rPr>
                <w:rFonts w:hint="eastAsia" w:ascii="宋体" w:hAnsi="宋体"/>
                <w:color w:val="000000" w:themeColor="text1"/>
                <w:sz w:val="21"/>
                <w:szCs w:val="21"/>
              </w:rPr>
              <w:t>提供有效证书复印件加盖单位公章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682" w:type="dxa"/>
            <w:vMerge w:val="continue"/>
            <w:vAlign w:val="center"/>
          </w:tcPr>
          <w:p>
            <w:pPr>
              <w:ind w:firstLine="28"/>
              <w:jc w:val="center"/>
              <w:rPr>
                <w:rFonts w:ascii="宋体" w:hAnsi="宋体" w:cs="仿宋"/>
                <w:sz w:val="21"/>
                <w:szCs w:val="21"/>
              </w:rPr>
            </w:pPr>
          </w:p>
        </w:tc>
        <w:tc>
          <w:tcPr>
            <w:tcW w:w="1095" w:type="dxa"/>
            <w:vMerge w:val="continue"/>
            <w:vAlign w:val="center"/>
          </w:tcPr>
          <w:p>
            <w:pPr>
              <w:ind w:firstLine="28"/>
              <w:jc w:val="center"/>
              <w:rPr>
                <w:rFonts w:ascii="宋体" w:hAnsi="宋体" w:cs="仿宋"/>
                <w:sz w:val="21"/>
                <w:szCs w:val="21"/>
              </w:rPr>
            </w:pPr>
          </w:p>
        </w:tc>
        <w:tc>
          <w:tcPr>
            <w:tcW w:w="1276" w:type="dxa"/>
            <w:vMerge w:val="continue"/>
            <w:vAlign w:val="center"/>
          </w:tcPr>
          <w:p>
            <w:pPr>
              <w:jc w:val="center"/>
              <w:rPr>
                <w:rFonts w:ascii="宋体" w:hAnsi="宋体" w:cs="仿宋"/>
                <w:sz w:val="21"/>
                <w:szCs w:val="21"/>
              </w:rPr>
            </w:pPr>
          </w:p>
        </w:tc>
        <w:tc>
          <w:tcPr>
            <w:tcW w:w="4709" w:type="dxa"/>
            <w:vAlign w:val="center"/>
          </w:tcPr>
          <w:p>
            <w:pPr>
              <w:spacing w:line="240" w:lineRule="atLeast"/>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1、投标人具备有效的职业健康安全管理体系（OHSAS18001或GB/T28001）认证证书得1分；</w:t>
            </w:r>
          </w:p>
          <w:p>
            <w:pPr>
              <w:spacing w:line="240" w:lineRule="atLeast"/>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2、投标人具备有效的环境管理体系（ISO14001或GB/T24001）认证证书得1分；</w:t>
            </w:r>
          </w:p>
          <w:p>
            <w:pPr>
              <w:spacing w:line="240" w:lineRule="atLeast"/>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3、投标人具备有效的质量管理体系（ISO9001或GB/T19001）认证证书得1分；</w:t>
            </w:r>
          </w:p>
        </w:tc>
        <w:tc>
          <w:tcPr>
            <w:tcW w:w="1953" w:type="dxa"/>
            <w:vAlign w:val="center"/>
          </w:tcPr>
          <w:p>
            <w:pPr>
              <w:topLinePunct/>
              <w:autoSpaceDN w:val="0"/>
              <w:adjustRightInd w:val="0"/>
              <w:snapToGrid w:val="0"/>
              <w:rPr>
                <w:rFonts w:ascii="宋体" w:hAnsi="宋体" w:cs="宋体"/>
                <w:color w:val="000000" w:themeColor="text1"/>
                <w:kern w:val="0"/>
                <w:sz w:val="21"/>
                <w:szCs w:val="21"/>
              </w:rPr>
            </w:pPr>
          </w:p>
        </w:tc>
      </w:tr>
    </w:tbl>
    <w:p>
      <w:pPr>
        <w:snapToGrid w:val="0"/>
        <w:spacing w:line="390" w:lineRule="exact"/>
        <w:rPr>
          <w:rFonts w:ascii="黑体" w:hAnsi="宋体" w:eastAsia="黑体"/>
          <w:color w:val="000000"/>
          <w:sz w:val="24"/>
          <w:szCs w:val="24"/>
        </w:rPr>
      </w:pPr>
    </w:p>
    <w:p>
      <w:pPr>
        <w:snapToGrid w:val="0"/>
        <w:spacing w:line="400" w:lineRule="exact"/>
        <w:rPr>
          <w:rFonts w:ascii="黑体" w:hAnsi="宋体" w:eastAsia="黑体"/>
          <w:color w:val="000000"/>
          <w:sz w:val="24"/>
          <w:szCs w:val="24"/>
        </w:rPr>
      </w:pPr>
      <w:r>
        <w:rPr>
          <w:rFonts w:hint="eastAsia" w:ascii="宋体" w:hAnsi="宋体" w:cs="仿宋"/>
          <w:b/>
          <w:sz w:val="24"/>
          <w:szCs w:val="24"/>
        </w:rPr>
        <w:t>说</w:t>
      </w:r>
      <w:r>
        <w:rPr>
          <w:rFonts w:hint="eastAsia" w:ascii="黑体" w:hAnsi="宋体" w:eastAsia="黑体"/>
          <w:color w:val="000000"/>
          <w:sz w:val="24"/>
          <w:szCs w:val="24"/>
        </w:rPr>
        <w:t>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snapToGrid w:val="0"/>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依据竞争性磋商文件的规定，对供应商的响应文件从质量、服务等方面进行审查，以确定供应商是否实质性响应竞争性磋商文件的要求。对技术、服务未作实质性响应的供应商，磋商小组将要求其在第二次报价前做出相应的承诺。</w:t>
      </w:r>
    </w:p>
    <w:p>
      <w:pPr>
        <w:snapToGrid w:val="0"/>
        <w:spacing w:line="390" w:lineRule="exact"/>
        <w:ind w:firstLine="361" w:firstLineChars="150"/>
        <w:rPr>
          <w:rFonts w:ascii="黑体" w:hAnsi="宋体" w:eastAsia="黑体"/>
          <w:color w:val="000000"/>
          <w:sz w:val="24"/>
          <w:szCs w:val="24"/>
        </w:rPr>
      </w:pPr>
      <w:r>
        <w:rPr>
          <w:rFonts w:hint="eastAsia" w:ascii="黑体" w:hAnsi="宋体" w:eastAsia="黑体"/>
          <w:b/>
          <w:bCs/>
          <w:color w:val="000000"/>
          <w:sz w:val="24"/>
          <w:szCs w:val="24"/>
        </w:rPr>
        <w:t>1.3出现下列情形之一的，采购人或者采购代理机构应当终止竞争性</w:t>
      </w:r>
      <w:r>
        <w:rPr>
          <w:rFonts w:hint="eastAsia" w:ascii="黑体" w:hAnsi="宋体" w:eastAsia="黑体"/>
          <w:color w:val="000000"/>
          <w:sz w:val="24"/>
          <w:szCs w:val="24"/>
        </w:rPr>
        <w:t>磋商</w:t>
      </w:r>
      <w:r>
        <w:rPr>
          <w:rFonts w:hint="eastAsia" w:ascii="黑体" w:hAnsi="宋体" w:eastAsia="黑体"/>
          <w:b/>
          <w:bCs/>
          <w:color w:val="000000"/>
          <w:sz w:val="24"/>
          <w:szCs w:val="24"/>
        </w:rPr>
        <w:t>采购活动，发布项目终止公告并说明原因，重新开展采购活动：</w:t>
      </w:r>
    </w:p>
    <w:p>
      <w:pPr>
        <w:snapToGrid w:val="0"/>
        <w:spacing w:line="390" w:lineRule="exact"/>
        <w:ind w:firstLine="360" w:firstLineChars="150"/>
        <w:rPr>
          <w:rFonts w:ascii="黑体" w:hAnsi="宋体" w:eastAsia="黑体"/>
          <w:color w:val="000000"/>
          <w:sz w:val="24"/>
          <w:szCs w:val="24"/>
        </w:rPr>
      </w:pPr>
      <w:r>
        <w:rPr>
          <w:rFonts w:hint="eastAsia" w:ascii="黑体" w:hAnsi="宋体" w:eastAsia="黑体"/>
          <w:color w:val="000000"/>
          <w:sz w:val="24"/>
          <w:szCs w:val="24"/>
        </w:rPr>
        <w:t>1.3.1因情况变化，不再符合规定的竞争性磋商采购方式适用情形的；</w:t>
      </w:r>
    </w:p>
    <w:p>
      <w:pPr>
        <w:snapToGrid w:val="0"/>
        <w:spacing w:line="390" w:lineRule="exact"/>
        <w:ind w:firstLine="360" w:firstLineChars="150"/>
        <w:rPr>
          <w:rFonts w:ascii="黑体" w:hAnsi="宋体" w:eastAsia="黑体"/>
          <w:color w:val="000000"/>
          <w:sz w:val="24"/>
          <w:szCs w:val="24"/>
        </w:rPr>
      </w:pPr>
      <w:r>
        <w:rPr>
          <w:rFonts w:hint="eastAsia" w:ascii="黑体" w:hAnsi="宋体" w:eastAsia="黑体"/>
          <w:color w:val="000000"/>
          <w:sz w:val="24"/>
          <w:szCs w:val="24"/>
        </w:rPr>
        <w:t>1.3.2出现影响采购公正的违法、违规行为的；</w:t>
      </w:r>
    </w:p>
    <w:p>
      <w:pPr>
        <w:snapToGrid w:val="0"/>
        <w:spacing w:line="390" w:lineRule="exact"/>
        <w:ind w:firstLine="360" w:firstLineChars="150"/>
        <w:rPr>
          <w:rFonts w:ascii="黑体" w:hAnsi="宋体" w:eastAsia="黑体"/>
          <w:color w:val="000000"/>
          <w:sz w:val="24"/>
          <w:szCs w:val="24"/>
        </w:rPr>
      </w:pPr>
      <w:r>
        <w:rPr>
          <w:rFonts w:hint="eastAsia" w:ascii="黑体" w:hAnsi="宋体" w:eastAsia="黑体"/>
          <w:color w:val="000000"/>
          <w:sz w:val="24"/>
          <w:szCs w:val="24"/>
        </w:rPr>
        <w:t>1.3.3在采购过程中符合竞争要求的供应商或者报价未超过采购预算的供应商不足3家的，但《政府采购非招标采购方式管理办法》第二十七条第二款规定的情形除外。</w:t>
      </w:r>
    </w:p>
    <w:p>
      <w:pPr>
        <w:pStyle w:val="3"/>
        <w:spacing w:before="0" w:after="0" w:line="390" w:lineRule="exact"/>
        <w:rPr>
          <w:rFonts w:ascii="黑体" w:eastAsia="黑体"/>
          <w:color w:val="000000"/>
          <w:sz w:val="24"/>
          <w:szCs w:val="24"/>
        </w:rPr>
      </w:pPr>
      <w:bookmarkStart w:id="30" w:name="_Toc342913395"/>
      <w:bookmarkStart w:id="31" w:name="_Toc102227321"/>
      <w:bookmarkStart w:id="32" w:name="_Toc415471830"/>
      <w:r>
        <w:rPr>
          <w:rFonts w:hint="eastAsia" w:ascii="黑体" w:eastAsia="黑体"/>
          <w:color w:val="000000"/>
          <w:sz w:val="24"/>
          <w:szCs w:val="24"/>
        </w:rPr>
        <w:t>四、成交通知</w:t>
      </w:r>
      <w:bookmarkEnd w:id="30"/>
      <w:bookmarkEnd w:id="31"/>
      <w:bookmarkEnd w:id="32"/>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1、成交供应商确定后2个工作日内，将在</w:t>
      </w:r>
      <w:r>
        <w:rPr>
          <w:rFonts w:hint="eastAsia" w:ascii="黑体" w:hAnsi="宋体" w:eastAsia="黑体"/>
          <w:b/>
          <w:color w:val="0000FF"/>
          <w:sz w:val="24"/>
          <w:szCs w:val="24"/>
        </w:rPr>
        <w:t>重庆市江北区中医院官网（http://www.jbzyy.com/）、重庆市行采家网址上（</w:t>
      </w:r>
      <w:r>
        <w:rPr>
          <w:rFonts w:ascii="黑体" w:hAnsi="宋体" w:eastAsia="黑体"/>
          <w:b/>
          <w:color w:val="0000FF"/>
          <w:sz w:val="24"/>
          <w:szCs w:val="24"/>
        </w:rPr>
        <w:t>www.gec123.com</w:t>
      </w:r>
      <w:r>
        <w:rPr>
          <w:rFonts w:hint="eastAsia" w:ascii="黑体" w:hAnsi="宋体" w:eastAsia="黑体"/>
          <w:b/>
          <w:color w:val="0000FF"/>
          <w:sz w:val="24"/>
          <w:szCs w:val="24"/>
        </w:rPr>
        <w:t>）</w:t>
      </w:r>
      <w:r>
        <w:rPr>
          <w:rFonts w:hint="eastAsia" w:ascii="黑体" w:hAnsi="宋体" w:eastAsia="黑体"/>
          <w:color w:val="000000"/>
          <w:sz w:val="24"/>
          <w:szCs w:val="24"/>
        </w:rPr>
        <w:t>上发布成交结果公示。</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2、成交结果公示发布七个日历日，重庆市江北区中医院将以书面形式发出《成交通知书》。《成交通知书》一经发出即发生法律效力。</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3、《成交通知书》将作为签订合同的依据。</w:t>
      </w:r>
    </w:p>
    <w:p>
      <w:pPr>
        <w:spacing w:line="390" w:lineRule="exact"/>
        <w:ind w:firstLine="480" w:firstLineChars="200"/>
        <w:rPr>
          <w:rFonts w:ascii="黑体" w:eastAsia="黑体"/>
          <w:color w:val="000000"/>
        </w:rPr>
      </w:pPr>
      <w:r>
        <w:rPr>
          <w:rFonts w:hint="eastAsia" w:ascii="黑体" w:hAnsi="宋体" w:eastAsia="黑体"/>
          <w:color w:val="000000"/>
          <w:sz w:val="24"/>
          <w:szCs w:val="24"/>
        </w:rPr>
        <w:t>4、如有供应商对成交结果提出质疑的，在质疑处理完毕后发出《成交通知书》。</w:t>
      </w:r>
    </w:p>
    <w:p>
      <w:pPr>
        <w:pStyle w:val="3"/>
        <w:spacing w:before="0" w:after="0" w:line="390" w:lineRule="exact"/>
        <w:rPr>
          <w:rFonts w:ascii="黑体" w:eastAsia="黑体"/>
          <w:color w:val="000000"/>
          <w:sz w:val="24"/>
          <w:szCs w:val="24"/>
        </w:rPr>
      </w:pPr>
      <w:bookmarkStart w:id="33" w:name="_Toc415471831"/>
      <w:r>
        <w:rPr>
          <w:rFonts w:hint="eastAsia" w:ascii="黑体" w:eastAsia="黑体"/>
          <w:color w:val="000000"/>
          <w:sz w:val="24"/>
          <w:szCs w:val="24"/>
        </w:rPr>
        <w:t>五、关于质疑和投诉</w:t>
      </w:r>
      <w:bookmarkEnd w:id="33"/>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供应商认为磋商文件、评审过程和成交结果使自己的权益受到损害的，可向采购人或采购代理机构以书面形式提出质疑。</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 xml:space="preserve">提出质疑的应当是参与所质疑项目采购活动的供应商。 </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1.质疑时限、内容</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1.1供应商认为采购文件、采购过程、成交结果使自己的权益受到损害的，可以在知道或者应知其权益受到损害之日起7个工作日内，以书面形式向采购人、采购代理机构提出质疑。</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1.2供应商提出质疑应当提交质疑函和必要的证明材料，质疑函应当包括下列内容：</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1.2.1供应商的姓名或者名称、地址、邮编、联系人及联系电话；</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1.2.2质疑项目的名称、项目号以及磋商项目编号；</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1.2.3具体、明确的质疑事项和与质疑事项相关的请求；</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1.2.4事实依据；</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1.2.5必要的法律依据；</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1.2.6提出质疑的日期；</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1.2.7营业执照（或事业单位法人证书，或个体工商户营业执照或有效的自然人身份证明、组织机构代码证）复印件；</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1.2.8法定代表人授权委托书原件、法定代表人身份证复印件和其授权代表的身份证复印件（供应商为自然人的提供自然人身份证复印件）；</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1.2.9供应商为自然人的，质疑函应当由本人签字；供应商为法人或者其他组织的，质疑函应当由法定代表人、主要负责人，或者其授权代表签字或者盖章，并加盖公章。</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2.质疑答复</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采购人、采购代理机构应当在收到供应商的书面质疑后七个工作日内作出答复，并以书面形式通知质疑供应商和其他有关供应商。</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3.其他</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3.1供应商应按照《政府采购质疑和投诉办法》（财政部令第94号）及相关法律法规要求，在法定质疑期内一次性提出针对同一采购程序环节的质疑。</w:t>
      </w:r>
    </w:p>
    <w:p>
      <w:pPr>
        <w:spacing w:line="560" w:lineRule="exact"/>
        <w:ind w:firstLine="480"/>
        <w:rPr>
          <w:rFonts w:ascii="方正仿宋_GBK" w:hAnsi="仿宋" w:eastAsia="方正仿宋_GBK" w:cs="仿宋"/>
          <w:color w:val="000000" w:themeColor="text1"/>
          <w:szCs w:val="28"/>
        </w:rPr>
      </w:pPr>
      <w:r>
        <w:rPr>
          <w:rFonts w:hint="eastAsia" w:ascii="方正仿宋_GBK" w:hAnsi="仿宋" w:eastAsia="方正仿宋_GBK" w:cs="仿宋"/>
          <w:color w:val="000000" w:themeColor="text1"/>
          <w:szCs w:val="28"/>
        </w:rPr>
        <w:t>3</w:t>
      </w:r>
      <w:r>
        <w:rPr>
          <w:rFonts w:hint="eastAsia" w:ascii="黑体" w:hAnsi="宋体" w:eastAsia="黑体"/>
          <w:color w:val="000000"/>
          <w:sz w:val="24"/>
          <w:szCs w:val="24"/>
        </w:rPr>
        <w:t>.2质疑函范本可在财政部门户网站和中国政府采购网下载。</w:t>
      </w:r>
    </w:p>
    <w:p>
      <w:pPr>
        <w:pStyle w:val="3"/>
        <w:spacing w:before="0" w:after="0" w:line="390" w:lineRule="exact"/>
        <w:rPr>
          <w:rFonts w:ascii="黑体" w:eastAsia="黑体"/>
          <w:color w:val="000000"/>
          <w:sz w:val="24"/>
          <w:szCs w:val="24"/>
        </w:rPr>
      </w:pPr>
      <w:bookmarkStart w:id="34" w:name="_Toc102227322"/>
      <w:bookmarkStart w:id="35" w:name="_Toc415471832"/>
      <w:bookmarkStart w:id="36" w:name="_Toc342913396"/>
      <w:r>
        <w:rPr>
          <w:rFonts w:hint="eastAsia" w:ascii="黑体" w:eastAsia="黑体"/>
          <w:color w:val="000000"/>
          <w:sz w:val="24"/>
          <w:szCs w:val="24"/>
        </w:rPr>
        <w:t>六、签订</w:t>
      </w:r>
      <w:bookmarkEnd w:id="34"/>
      <w:r>
        <w:rPr>
          <w:rFonts w:hint="eastAsia" w:ascii="黑体" w:eastAsia="黑体"/>
          <w:color w:val="000000"/>
          <w:sz w:val="24"/>
          <w:szCs w:val="24"/>
        </w:rPr>
        <w:t>合同</w:t>
      </w:r>
      <w:bookmarkEnd w:id="35"/>
      <w:bookmarkEnd w:id="36"/>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1、采购人与成交供应商应当在成交通知书发出之日起30日内，按照采购文件确定的合同文本以及采购标的、规格型号、采购金额、采购数量、技术和服务要求等事项签订采购合同。</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2、竞争性磋商文件、成交供应商的响应文件及有效承诺文件等，均为签订合同的依据。</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3、如成交供应商放弃成交项目或在签订合同时擅自改变成交状态的，采购人将按照相关法律法规处理。</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4、采购人不得向成交供应商提出超出竞争性磋商以外的任何要求作为签订合同的条件，不得与成交供应商订立背离竞争性磋商确定的合同文本以及采购标的、规格型号、采购金额、采购数量、技术和服务要求等实质性内容的协议。</w:t>
      </w:r>
    </w:p>
    <w:p>
      <w:pPr>
        <w:spacing w:line="390" w:lineRule="exact"/>
        <w:ind w:firstLine="480" w:firstLineChars="200"/>
        <w:rPr>
          <w:rFonts w:ascii="方正仿宋_GBK" w:hAnsi="宋体" w:eastAsia="方正仿宋_GBK"/>
          <w:b/>
          <w:color w:val="000000"/>
          <w:sz w:val="24"/>
          <w:szCs w:val="24"/>
        </w:rPr>
      </w:pPr>
      <w:r>
        <w:rPr>
          <w:rFonts w:hint="eastAsia" w:ascii="黑体" w:hAnsi="宋体" w:eastAsia="黑体"/>
          <w:color w:val="000000"/>
          <w:sz w:val="24"/>
          <w:szCs w:val="24"/>
        </w:rPr>
        <w:t>5、除不可抗力等因素外，成交通知书发出后，采购人改变成交结果，或者成交供应商拒绝签订政府采购合同的，应当承担相应的法律责任。</w:t>
      </w:r>
    </w:p>
    <w:p>
      <w:pPr>
        <w:spacing w:line="560" w:lineRule="exact"/>
        <w:ind w:firstLine="480"/>
        <w:rPr>
          <w:rFonts w:ascii="黑体" w:hAnsi="宋体" w:eastAsia="黑体"/>
          <w:color w:val="000000"/>
          <w:sz w:val="24"/>
          <w:szCs w:val="24"/>
        </w:rPr>
      </w:pPr>
    </w:p>
    <w:p>
      <w:pPr>
        <w:spacing w:line="560" w:lineRule="exact"/>
        <w:ind w:firstLine="480"/>
        <w:rPr>
          <w:rFonts w:ascii="黑体" w:hAnsi="宋体" w:eastAsia="黑体"/>
          <w:color w:val="000000"/>
          <w:sz w:val="24"/>
          <w:szCs w:val="24"/>
        </w:rPr>
      </w:pPr>
    </w:p>
    <w:p/>
    <w:p/>
    <w:p/>
    <w:p/>
    <w:p/>
    <w:p/>
    <w:p/>
    <w:p/>
    <w:p>
      <w:pPr>
        <w:pStyle w:val="2"/>
        <w:spacing w:line="360" w:lineRule="auto"/>
        <w:jc w:val="center"/>
        <w:rPr>
          <w:rFonts w:ascii="黑体" w:hAnsi="宋体"/>
          <w:b w:val="0"/>
          <w:color w:val="000000"/>
          <w:sz w:val="36"/>
          <w:szCs w:val="30"/>
        </w:rPr>
      </w:pPr>
      <w:bookmarkStart w:id="37" w:name="_Toc102227313"/>
      <w:bookmarkStart w:id="38" w:name="_Toc415471823"/>
      <w:r>
        <w:rPr>
          <w:rFonts w:hint="eastAsia" w:ascii="黑体" w:hAnsi="宋体"/>
          <w:b w:val="0"/>
          <w:color w:val="000000"/>
          <w:sz w:val="36"/>
          <w:szCs w:val="30"/>
        </w:rPr>
        <w:t>第五篇  供应商须知</w:t>
      </w:r>
      <w:bookmarkEnd w:id="37"/>
      <w:bookmarkEnd w:id="38"/>
      <w:bookmarkStart w:id="39" w:name="_Toc453767309"/>
      <w:bookmarkStart w:id="40" w:name="_Toc10103737"/>
    </w:p>
    <w:p>
      <w:pPr>
        <w:pStyle w:val="2"/>
        <w:spacing w:line="360" w:lineRule="auto"/>
        <w:rPr>
          <w:sz w:val="24"/>
          <w:szCs w:val="24"/>
        </w:rPr>
      </w:pPr>
      <w:r>
        <w:rPr>
          <w:rFonts w:hint="eastAsia"/>
          <w:sz w:val="24"/>
          <w:szCs w:val="24"/>
        </w:rPr>
        <w:t>一、投标人</w:t>
      </w:r>
      <w:bookmarkEnd w:id="39"/>
      <w:bookmarkEnd w:id="40"/>
    </w:p>
    <w:p>
      <w:pPr>
        <w:pStyle w:val="2"/>
        <w:spacing w:line="360" w:lineRule="auto"/>
        <w:rPr>
          <w:rFonts w:ascii="黑体" w:hAnsi="宋体"/>
          <w:b w:val="0"/>
          <w:color w:val="000000"/>
          <w:sz w:val="36"/>
          <w:szCs w:val="30"/>
        </w:rPr>
      </w:pPr>
      <w:r>
        <w:rPr>
          <w:rFonts w:hint="eastAsia" w:ascii="黑体" w:hAnsi="宋体"/>
          <w:sz w:val="24"/>
          <w:szCs w:val="24"/>
        </w:rPr>
        <w:t>（一）投标人</w:t>
      </w:r>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投标人是指响应招标、参加投标竞争的法人、其他组织。</w:t>
      </w:r>
    </w:p>
    <w:p>
      <w:pPr>
        <w:snapToGrid w:val="0"/>
        <w:spacing w:line="400" w:lineRule="exact"/>
        <w:ind w:firstLine="480" w:firstLineChars="200"/>
        <w:rPr>
          <w:rFonts w:ascii="黑体" w:hAnsi="宋体" w:eastAsia="黑体"/>
          <w:sz w:val="24"/>
          <w:szCs w:val="24"/>
        </w:rPr>
      </w:pPr>
      <w:r>
        <w:rPr>
          <w:rFonts w:hint="eastAsia" w:ascii="宋体" w:hAnsi="宋体" w:cs="仿宋"/>
          <w:sz w:val="24"/>
        </w:rPr>
        <w:t>（</w:t>
      </w:r>
      <w:r>
        <w:rPr>
          <w:rFonts w:hint="eastAsia" w:ascii="黑体" w:hAnsi="宋体" w:eastAsia="黑体"/>
          <w:sz w:val="24"/>
          <w:szCs w:val="24"/>
        </w:rPr>
        <w:t>二）合格投标人条件</w:t>
      </w:r>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合格投标人应完全符合招标文件第一篇中规定的投标人资格条件，并对招标文件作出实质性响应。</w:t>
      </w:r>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（三）投标人的风险</w:t>
      </w:r>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投标人没有按照招标文件要求提供全部资料，或者投标人没有对招标文件在各方面作出实质性响应，可能导致投标被拒绝或评定为无效投标。</w:t>
      </w:r>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（四）法律责任</w:t>
      </w:r>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投标人违反《中华人民共和国政府采购法》、《中华人民共和国政府采购实施条例》等相关规定，将按规定追究投标人法律责任。</w:t>
      </w:r>
    </w:p>
    <w:p>
      <w:pPr>
        <w:spacing w:line="360" w:lineRule="auto"/>
        <w:rPr>
          <w:b/>
          <w:sz w:val="24"/>
          <w:szCs w:val="24"/>
        </w:rPr>
      </w:pPr>
      <w:bookmarkStart w:id="41" w:name="_Toc453767310"/>
      <w:bookmarkStart w:id="42" w:name="_Toc10103738"/>
      <w:r>
        <w:rPr>
          <w:rFonts w:hint="eastAsia"/>
          <w:b/>
          <w:sz w:val="24"/>
          <w:szCs w:val="24"/>
        </w:rPr>
        <w:t>二、招标文件</w:t>
      </w:r>
      <w:bookmarkEnd w:id="41"/>
      <w:bookmarkEnd w:id="42"/>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招标文件是投标人编制投标文件的依据，是评标委员会评判依据和标准。招标文件也是采购人与中标人签订合同的基础。</w:t>
      </w:r>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（一）招标文件由投标邀请书；项目技术规格、数量及质量要求；商务条款；投标人须知；评标方法、评标标准、无效投标条款和废标条款；合同主要条款、合同范本；投标文件格式等七部分组成。</w:t>
      </w:r>
    </w:p>
    <w:p>
      <w:pPr>
        <w:snapToGrid w:val="0"/>
        <w:spacing w:line="400" w:lineRule="exact"/>
        <w:ind w:firstLine="480"/>
        <w:rPr>
          <w:rFonts w:ascii="黑体" w:hAnsi="宋体" w:eastAsia="黑体"/>
          <w:sz w:val="24"/>
          <w:szCs w:val="24"/>
        </w:rPr>
      </w:pPr>
      <w:r>
        <w:rPr>
          <w:rFonts w:hint="eastAsia" w:ascii="黑体" w:hAnsi="宋体" w:eastAsia="黑体"/>
          <w:sz w:val="24"/>
          <w:szCs w:val="24"/>
        </w:rPr>
        <w:t>（二）采购代理机构对招标文件所作的一切有效的书面通知、修改及补充，都是招标文件不可分割的部分。</w:t>
      </w:r>
    </w:p>
    <w:p>
      <w:pPr>
        <w:snapToGrid w:val="0"/>
        <w:spacing w:line="400" w:lineRule="exact"/>
        <w:ind w:firstLine="480"/>
        <w:rPr>
          <w:rFonts w:ascii="黑体" w:hAnsi="宋体" w:eastAsia="黑体"/>
          <w:sz w:val="24"/>
          <w:szCs w:val="24"/>
        </w:rPr>
      </w:pPr>
      <w:r>
        <w:rPr>
          <w:rFonts w:hint="eastAsia" w:ascii="黑体" w:hAnsi="宋体" w:eastAsia="黑体"/>
          <w:sz w:val="24"/>
          <w:szCs w:val="24"/>
        </w:rPr>
        <w:t>（三）本项目的招标文件、补遗文件（如果有）一律在</w:t>
      </w:r>
      <w:r>
        <w:rPr>
          <w:rFonts w:hint="eastAsia" w:ascii="黑体" w:hAnsi="宋体" w:eastAsia="黑体"/>
          <w:b/>
          <w:color w:val="0000FF"/>
          <w:sz w:val="24"/>
          <w:szCs w:val="24"/>
        </w:rPr>
        <w:t>重庆市江北区中医院官网（http://www.jbzyy.com/）、重庆市行采家网址上（</w:t>
      </w:r>
      <w:r>
        <w:rPr>
          <w:rFonts w:ascii="黑体" w:hAnsi="宋体" w:eastAsia="黑体"/>
          <w:b/>
          <w:color w:val="0000FF"/>
          <w:sz w:val="24"/>
          <w:szCs w:val="24"/>
        </w:rPr>
        <w:t>www.gec123.com</w:t>
      </w:r>
      <w:r>
        <w:rPr>
          <w:rFonts w:hint="eastAsia" w:ascii="黑体" w:hAnsi="宋体" w:eastAsia="黑体"/>
          <w:b/>
          <w:color w:val="0000FF"/>
          <w:sz w:val="24"/>
          <w:szCs w:val="24"/>
        </w:rPr>
        <w:t>）</w:t>
      </w:r>
      <w:r>
        <w:rPr>
          <w:rFonts w:hint="eastAsia" w:ascii="黑体" w:hAnsi="宋体" w:eastAsia="黑体"/>
          <w:sz w:val="24"/>
          <w:szCs w:val="24"/>
        </w:rPr>
        <w:t>上发布，请各投标人注意下载；无论投标人下载与否，均视同投标人已知晓本项目招标文件、补遗文件的内容。</w:t>
      </w:r>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（四）采购代理机构对已发出的招标文件需要进行澄清或修改的，应以书面形式或公告形式通知所有招标文件收受人。该澄清或者修改的内容为招标文件的组成部分。</w:t>
      </w:r>
    </w:p>
    <w:p>
      <w:pPr>
        <w:spacing w:line="360" w:lineRule="auto"/>
        <w:rPr>
          <w:b/>
          <w:sz w:val="24"/>
          <w:szCs w:val="24"/>
        </w:rPr>
      </w:pPr>
      <w:bookmarkStart w:id="43" w:name="_Toc10103739"/>
      <w:bookmarkStart w:id="44" w:name="_Toc453767311"/>
      <w:r>
        <w:rPr>
          <w:rFonts w:hint="eastAsia"/>
          <w:b/>
          <w:sz w:val="24"/>
          <w:szCs w:val="24"/>
        </w:rPr>
        <w:t>三、投标文件</w:t>
      </w:r>
      <w:bookmarkEnd w:id="43"/>
      <w:bookmarkEnd w:id="44"/>
    </w:p>
    <w:p>
      <w:pPr>
        <w:spacing w:line="400" w:lineRule="exact"/>
        <w:ind w:firstLine="480" w:firstLineChars="200"/>
        <w:rPr>
          <w:rFonts w:ascii="黑体" w:hAnsi="宋体" w:eastAsia="黑体"/>
          <w:sz w:val="24"/>
          <w:szCs w:val="24"/>
        </w:rPr>
      </w:pPr>
      <w:r>
        <w:rPr>
          <w:rFonts w:hint="eastAsia" w:ascii="黑体" w:hAnsi="宋体" w:eastAsia="黑体"/>
          <w:sz w:val="24"/>
          <w:szCs w:val="24"/>
        </w:rPr>
        <w:t>投标人应当按照招标文件的要求编制投标文件，并对招标文件提出的要求和条件作出实质性响应，投标文件原则上采用软面订本，同时应编制完整的页码、目录。</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（一）投标文件组成</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资格文件要求单独装订。</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（二）联合投标</w:t>
      </w:r>
    </w:p>
    <w:p>
      <w:pPr>
        <w:spacing w:line="400" w:lineRule="exact"/>
        <w:ind w:firstLine="482" w:firstLineChars="200"/>
        <w:rPr>
          <w:rFonts w:ascii="宋体" w:hAnsi="宋体" w:cs="仿宋"/>
          <w:b/>
          <w:sz w:val="24"/>
        </w:rPr>
      </w:pPr>
      <w:r>
        <w:rPr>
          <w:rFonts w:hint="eastAsia" w:ascii="宋体" w:hAnsi="宋体" w:cs="仿宋"/>
          <w:b/>
          <w:sz w:val="24"/>
        </w:rPr>
        <w:t>本项目不接受联合体投标</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（三）投标有效期</w:t>
      </w:r>
    </w:p>
    <w:p>
      <w:pPr>
        <w:rPr>
          <w:rFonts w:ascii="黑体" w:hAnsi="宋体" w:eastAsia="黑体"/>
          <w:sz w:val="24"/>
          <w:szCs w:val="24"/>
        </w:rPr>
      </w:pPr>
      <w:r>
        <w:rPr>
          <w:rFonts w:hint="eastAsia" w:ascii="黑体" w:hAnsi="宋体" w:eastAsia="黑体"/>
          <w:color w:val="000000"/>
          <w:sz w:val="24"/>
          <w:szCs w:val="24"/>
        </w:rPr>
        <w:t>响应文件及有关承诺文件有效期为磋商开始时间起90天。</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（四）投标保证金</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1.投标人应在投标截止时间前，按招标文件第一篇规定缴纳投标保证金。</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2.投标保证金为投标的有效约束条件。</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3.投标保证金的有效期限在投标有效期过后三十天内继续有效。</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4.投标保证金币种应与投标报价币种相同。</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5.采购代理机构在《中标通知书》发出后五个工作日内退还未中标人的投标保证金；在采购合同签订后五个工作日退还中标人的投标保证金。</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6.投标人有下列情形之一的，采购人或者采购代理机构可以不退还投标保证金：</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6.1投标人在投标有效期内撤回投标文件的；</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6.2投标人未按规定提交履约保证金的；</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6.3投标人在投标过程中弄虚作假，提供虚假材料的；</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6.4中标人无正当理由不与采购人签订合同的；</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6.5中标人将中标项目转让给他人或者在投标文件中未说明且未经采购人同意，将中标项目分包给他人的；</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6.6中标人拒绝履行合同义务的；</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6.7其他严重扰乱招投标程序的。</w:t>
      </w:r>
    </w:p>
    <w:p>
      <w:pPr>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7、报价要求</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本项目以人民币报价，</w:t>
      </w:r>
      <w:r>
        <w:rPr>
          <w:rFonts w:hint="eastAsia" w:ascii="黑体" w:hAnsi="宋体" w:eastAsia="黑体"/>
          <w:color w:val="000000"/>
          <w:sz w:val="24"/>
          <w:szCs w:val="24"/>
        </w:rPr>
        <w:t>磋商</w:t>
      </w:r>
      <w:r>
        <w:rPr>
          <w:rFonts w:hint="eastAsia" w:ascii="黑体" w:hAnsi="宋体" w:eastAsia="黑体"/>
          <w:sz w:val="24"/>
          <w:szCs w:val="24"/>
        </w:rPr>
        <w:t>报价包括完成本项目所需的设备或货物购买（制造）费、辅材费、运输费、装卸费、安装调试费、培训费、包装物清除费和</w:t>
      </w:r>
      <w:r>
        <w:rPr>
          <w:rFonts w:ascii="黑体" w:hAnsi="宋体" w:eastAsia="黑体"/>
          <w:sz w:val="24"/>
          <w:szCs w:val="24"/>
        </w:rPr>
        <w:t>500元以下的零部件不收材料费</w:t>
      </w:r>
      <w:r>
        <w:rPr>
          <w:rFonts w:hint="eastAsia" w:ascii="黑体" w:hAnsi="宋体" w:eastAsia="黑体"/>
          <w:sz w:val="24"/>
          <w:szCs w:val="24"/>
        </w:rPr>
        <w:t>、</w:t>
      </w:r>
      <w:r>
        <w:rPr>
          <w:rFonts w:ascii="黑体" w:hAnsi="宋体" w:eastAsia="黑体"/>
          <w:sz w:val="24"/>
          <w:szCs w:val="24"/>
        </w:rPr>
        <w:t>人工费</w:t>
      </w:r>
      <w:r>
        <w:rPr>
          <w:rFonts w:hint="eastAsia" w:ascii="黑体" w:hAnsi="宋体" w:eastAsia="黑体"/>
          <w:sz w:val="24"/>
          <w:szCs w:val="24"/>
        </w:rPr>
        <w:t>及各种应纳的税费。因成交供应商自身原因造成漏报、少报皆由其自行承担责任，采购人不再补偿。本项目接受二次投标报价，以第二次报价为最终报价。</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8、修正错误</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若供应商所递交的响应文件或最后报价中的价格出现大写金额和小写金额不一致的错误，以大写金额修正为准。</w:t>
      </w:r>
    </w:p>
    <w:p>
      <w:pPr>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磋商</w:t>
      </w:r>
      <w:r>
        <w:rPr>
          <w:rFonts w:hint="eastAsia" w:ascii="黑体" w:hAnsi="宋体" w:eastAsia="黑体"/>
          <w:sz w:val="24"/>
          <w:szCs w:val="24"/>
        </w:rPr>
        <w:t>小组按上述修正错误的原则及方法修正供应商的报价，供应商同意并签字确认后，</w:t>
      </w:r>
      <w:r>
        <w:rPr>
          <w:rFonts w:hint="eastAsia" w:ascii="黑体" w:hAnsi="宋体" w:eastAsia="黑体"/>
          <w:color w:val="000000"/>
          <w:sz w:val="24"/>
          <w:szCs w:val="24"/>
        </w:rPr>
        <w:t>修正后的报价对供应商具有约束作用。如果供应商不接受修正后的价格，将失去成为成交供应商的资格。</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9、提交响应文件的份数和签署</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9.1响应文件一式三份，</w:t>
      </w:r>
      <w:r>
        <w:rPr>
          <w:rFonts w:hint="eastAsia" w:ascii="黑体" w:hAnsi="宋体" w:eastAsia="黑体"/>
          <w:b/>
          <w:color w:val="000000"/>
          <w:sz w:val="24"/>
          <w:szCs w:val="24"/>
        </w:rPr>
        <w:t>其中正本一份，副本二份，</w:t>
      </w:r>
      <w:r>
        <w:rPr>
          <w:rFonts w:hint="eastAsia" w:ascii="黑体" w:hAnsi="宋体" w:eastAsia="黑体"/>
          <w:color w:val="000000"/>
          <w:sz w:val="24"/>
          <w:szCs w:val="24"/>
        </w:rPr>
        <w:t>副本可为正本的复印件，应与正本一致，如出现不一致情况以正本为准。</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9.2</w:t>
      </w:r>
      <w:r>
        <w:rPr>
          <w:rFonts w:hint="eastAsia" w:ascii="黑体" w:hAnsi="宋体" w:eastAsia="黑体"/>
          <w:color w:val="000000"/>
          <w:sz w:val="24"/>
        </w:rPr>
        <w:t>在响应文件正本中，竞争性</w:t>
      </w:r>
      <w:r>
        <w:rPr>
          <w:rFonts w:hint="eastAsia" w:ascii="黑体" w:hAnsi="宋体" w:eastAsia="黑体"/>
          <w:color w:val="000000"/>
          <w:sz w:val="24"/>
          <w:szCs w:val="24"/>
        </w:rPr>
        <w:t>磋商</w:t>
      </w:r>
      <w:r>
        <w:rPr>
          <w:rFonts w:hint="eastAsia" w:ascii="黑体" w:hAnsi="宋体" w:eastAsia="黑体"/>
          <w:color w:val="000000"/>
          <w:sz w:val="24"/>
        </w:rPr>
        <w:t>文件第六篇响应文件格式中规定签字、盖章的地方必须按其规定签字、盖章。</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10、响应文件的递交</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10.1响应文件的密封与标记</w:t>
      </w:r>
    </w:p>
    <w:p>
      <w:pPr>
        <w:snapToGrid w:val="0"/>
        <w:spacing w:line="400" w:lineRule="exact"/>
        <w:ind w:firstLine="482" w:firstLineChars="200"/>
        <w:rPr>
          <w:rFonts w:ascii="黑体" w:hAnsi="宋体" w:eastAsia="黑体"/>
          <w:color w:val="000000"/>
          <w:sz w:val="24"/>
          <w:szCs w:val="24"/>
        </w:rPr>
      </w:pPr>
      <w:r>
        <w:rPr>
          <w:rFonts w:hint="eastAsia" w:ascii="黑体" w:hAnsi="宋体" w:eastAsia="黑体"/>
          <w:b/>
          <w:color w:val="000000"/>
          <w:sz w:val="24"/>
          <w:szCs w:val="24"/>
        </w:rPr>
        <w:t>响应文件的正本、副本均采用信封分别密封</w:t>
      </w:r>
      <w:r>
        <w:rPr>
          <w:rFonts w:hint="eastAsia" w:ascii="黑体" w:hAnsi="宋体" w:eastAsia="黑体"/>
          <w:color w:val="000000"/>
          <w:sz w:val="24"/>
          <w:szCs w:val="24"/>
        </w:rPr>
        <w:t>。信封上注明项目名称、供应商名称、“正本”、“副本”字样。</w:t>
      </w:r>
      <w:r>
        <w:rPr>
          <w:rFonts w:hint="eastAsia" w:ascii="黑体" w:hAnsi="宋体" w:eastAsia="黑体"/>
          <w:b/>
          <w:color w:val="000000"/>
          <w:sz w:val="24"/>
          <w:szCs w:val="24"/>
        </w:rPr>
        <w:t>信封的封口应加盖供应商公章或法人授权代表签字</w:t>
      </w:r>
      <w:r>
        <w:rPr>
          <w:rFonts w:hint="eastAsia" w:ascii="黑体" w:hAnsi="宋体" w:eastAsia="黑体"/>
          <w:color w:val="000000"/>
          <w:sz w:val="24"/>
          <w:szCs w:val="24"/>
        </w:rPr>
        <w:t>。</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10.2响应文件投递截止时间：参阅竞争性磋商邀请书。</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11、响应文件语言：简体中文</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12、供应商参与人员</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各个供应商可派1-2名代表参与磋商，至少1人应为法定代表人或具有法定代表人授权委托书的授权代表。</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13、无效磋商</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供应商发生以下条款情况之一者，视为无效磋商，其响应文件将被拒绝：</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13.1不符合规定的基本资格条件或特定资格条件；</w:t>
      </w:r>
    </w:p>
    <w:p>
      <w:pPr>
        <w:snapToGrid w:val="0"/>
        <w:spacing w:line="400" w:lineRule="exact"/>
        <w:rPr>
          <w:rFonts w:ascii="黑体" w:hAnsi="宋体" w:eastAsia="黑体"/>
          <w:color w:val="000000"/>
          <w:sz w:val="24"/>
          <w:szCs w:val="24"/>
        </w:rPr>
      </w:pPr>
      <w:r>
        <w:rPr>
          <w:rFonts w:hint="eastAsia" w:ascii="黑体" w:hAnsi="宋体" w:eastAsia="黑体"/>
          <w:color w:val="000000"/>
          <w:sz w:val="24"/>
          <w:szCs w:val="24"/>
        </w:rPr>
        <w:t xml:space="preserve">    13.2法定代表人或其授权代表未参加磋商；</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13.3供应商未按照竞争性磋商文件的要求缴纳保证金；</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13.4响应文件不按规定签字、盖章；</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13.5最后报价超过采购预算；</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13.6供应商响应文件内容有与国家现行法律法规相违背的内容，或附有采购人无法接受的条件。</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13.7最后报价前服务条款未达到竞争性磋商文件要求的；</w:t>
      </w:r>
    </w:p>
    <w:p>
      <w:pPr>
        <w:pStyle w:val="3"/>
        <w:spacing w:before="0" w:after="0" w:line="400" w:lineRule="exact"/>
        <w:rPr>
          <w:rFonts w:ascii="黑体" w:eastAsia="黑体"/>
          <w:color w:val="000000"/>
          <w:sz w:val="24"/>
          <w:szCs w:val="24"/>
        </w:rPr>
      </w:pPr>
      <w:bookmarkStart w:id="45" w:name="_Toc102227319"/>
      <w:bookmarkStart w:id="46" w:name="_Toc415471827"/>
      <w:bookmarkStart w:id="47" w:name="_Toc179714298"/>
      <w:bookmarkStart w:id="48" w:name="_Toc342913393"/>
      <w:r>
        <w:rPr>
          <w:rFonts w:hint="eastAsia" w:ascii="黑体" w:eastAsia="黑体"/>
          <w:color w:val="000000"/>
          <w:sz w:val="24"/>
          <w:szCs w:val="24"/>
        </w:rPr>
        <w:t>四、</w:t>
      </w:r>
      <w:r>
        <w:rPr>
          <w:rFonts w:hint="eastAsia" w:ascii="黑体" w:hAnsi="宋体" w:eastAsia="黑体"/>
          <w:color w:val="000000"/>
          <w:sz w:val="24"/>
          <w:szCs w:val="24"/>
        </w:rPr>
        <w:t>磋商</w:t>
      </w:r>
      <w:r>
        <w:rPr>
          <w:rFonts w:hint="eastAsia" w:ascii="黑体" w:eastAsia="黑体"/>
          <w:color w:val="000000"/>
          <w:sz w:val="24"/>
          <w:szCs w:val="24"/>
        </w:rPr>
        <w:t>程序</w:t>
      </w:r>
      <w:bookmarkEnd w:id="45"/>
      <w:bookmarkEnd w:id="46"/>
      <w:bookmarkEnd w:id="47"/>
      <w:bookmarkEnd w:id="48"/>
    </w:p>
    <w:p>
      <w:pPr>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1、磋商按竞争性磋商文件规定的时间和地点进行。供应商须有法定代表人或其授权代表参加并签到。</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2、竞争性磋商以抽签的形式确定磋商顺序，由本项目磋商小组分别与各供应商进行磋商。在正式磋商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磋商要求的前提下，才能参与正式磋商。</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3、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5、在磋商过程中磋商的任何一方不得向他人透露与磋商有关的技术资料、价格或其他信息。</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供应商应当按照竞争性磋商文件的变动情况和磋商小组的要求重新提交响应文件或重新做出相关的书面承诺，并报出最佳服务方案，最后统一报价。</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7、供应商在磋商时作出的所有书面承诺须由法定代表人或其授权代表签字。</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8、本项目规定报价次数为两次。磋商结束后，磋商小组要求通过资格性审查的供应商在规定的时间内同时书面提出二次报价及有关承诺（填写《第二次报价表》），并据此确定成交候选人。已提交响应文件但未在规定时间内进行第二次报价的供应商，视为放弃第二次报价，以供应商响应文件中的报价为准。</w:t>
      </w:r>
    </w:p>
    <w:p>
      <w:pPr>
        <w:pStyle w:val="3"/>
        <w:spacing w:before="0" w:after="0" w:line="390" w:lineRule="exact"/>
        <w:rPr>
          <w:rFonts w:ascii="黑体" w:eastAsia="黑体"/>
          <w:color w:val="000000"/>
          <w:sz w:val="24"/>
          <w:szCs w:val="24"/>
        </w:rPr>
      </w:pPr>
      <w:bookmarkStart w:id="49" w:name="_Toc415471828"/>
      <w:r>
        <w:rPr>
          <w:rFonts w:hint="eastAsia" w:ascii="黑体" w:eastAsia="黑体"/>
          <w:color w:val="000000"/>
          <w:sz w:val="24"/>
          <w:szCs w:val="24"/>
        </w:rPr>
        <w:t>五、评审依据</w:t>
      </w:r>
      <w:bookmarkEnd w:id="49"/>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评审的依据为竞争性磋商文件和响应文件（含有效的补充文件）。磋商小组判断响应文件对竞争性磋商文件的响应，仅基于响应文件本身而不靠外部证据。</w:t>
      </w:r>
    </w:p>
    <w:p>
      <w:pPr>
        <w:pStyle w:val="3"/>
        <w:spacing w:before="0" w:after="0" w:line="390" w:lineRule="exact"/>
        <w:rPr>
          <w:rFonts w:ascii="黑体" w:eastAsia="黑体"/>
          <w:color w:val="000000"/>
          <w:sz w:val="24"/>
          <w:szCs w:val="24"/>
        </w:rPr>
      </w:pPr>
      <w:r>
        <w:rPr>
          <w:rFonts w:hint="eastAsia" w:ascii="黑体" w:eastAsia="黑体"/>
          <w:color w:val="000000"/>
          <w:sz w:val="24"/>
          <w:szCs w:val="24"/>
        </w:rPr>
        <w:t>六、签订合同</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1、采购人与成交供应商应当在成交通知书发出之日起30日内，按照采购文件确定的合同文本以及采购标的、规格型号、采购金额、采购数量、技术和服务要求等事项签订采购合同。</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2、竞争性磋商文件、成交供应商的响应文件及有效承诺文件等，均为签订合同的依据。</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3、如成交供应商放弃成交项目或在签订合同时擅自改变成交状态的，采购人将按照相关法律法规处理。</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4、采购人不得向成交供应商提出超出竞争性磋商以外的任何要求作为签订合同的条件，不得与成交供应商订立背离竞争性磋商确定的合同文本以及采购标的、规格型号、采购金额、采购数量、技术和服务要求等实质性内容的协议。</w:t>
      </w:r>
    </w:p>
    <w:p>
      <w:pPr>
        <w:spacing w:line="390" w:lineRule="exact"/>
        <w:ind w:firstLine="480" w:firstLineChars="200"/>
        <w:rPr>
          <w:rFonts w:ascii="方正仿宋_GBK" w:hAnsi="宋体" w:eastAsia="方正仿宋_GBK"/>
          <w:b/>
          <w:color w:val="000000"/>
          <w:sz w:val="24"/>
          <w:szCs w:val="24"/>
        </w:rPr>
      </w:pPr>
      <w:r>
        <w:rPr>
          <w:rFonts w:hint="eastAsia" w:ascii="黑体" w:hAnsi="宋体" w:eastAsia="黑体"/>
          <w:color w:val="000000"/>
          <w:sz w:val="24"/>
          <w:szCs w:val="24"/>
        </w:rPr>
        <w:t>5、除不可抗力等因素外，成交通知书发出后，采购人改变成交结果，或者成交供应商拒绝签订政府采购合同的，应当承担相应的法律责任。</w:t>
      </w:r>
    </w:p>
    <w:p/>
    <w:p/>
    <w:p/>
    <w:p/>
    <w:p>
      <w:pPr>
        <w:pStyle w:val="2"/>
        <w:spacing w:before="0" w:after="0" w:line="360" w:lineRule="auto"/>
        <w:jc w:val="center"/>
        <w:rPr>
          <w:rFonts w:hint="eastAsia" w:ascii="黑体" w:hAnsi="宋体"/>
          <w:b w:val="0"/>
          <w:color w:val="000000"/>
          <w:sz w:val="36"/>
          <w:szCs w:val="30"/>
        </w:rPr>
      </w:pPr>
      <w:bookmarkStart w:id="50" w:name="_Toc415471843"/>
    </w:p>
    <w:p>
      <w:pPr>
        <w:rPr>
          <w:rFonts w:hint="eastAsia"/>
        </w:rPr>
      </w:pPr>
    </w:p>
    <w:p>
      <w:pPr>
        <w:pStyle w:val="2"/>
        <w:spacing w:before="0" w:after="0" w:line="360" w:lineRule="auto"/>
        <w:jc w:val="center"/>
        <w:rPr>
          <w:rFonts w:ascii="黑体" w:hAnsi="宋体"/>
          <w:b w:val="0"/>
          <w:color w:val="000000"/>
          <w:sz w:val="36"/>
          <w:szCs w:val="30"/>
        </w:rPr>
      </w:pPr>
      <w:r>
        <w:rPr>
          <w:rFonts w:hint="eastAsia" w:ascii="黑体" w:hAnsi="宋体"/>
          <w:b w:val="0"/>
          <w:color w:val="000000"/>
          <w:sz w:val="36"/>
          <w:szCs w:val="30"/>
        </w:rPr>
        <w:t>第六篇  合同草案条款</w:t>
      </w:r>
      <w:bookmarkEnd w:id="50"/>
    </w:p>
    <w:p>
      <w:pPr>
        <w:pStyle w:val="29"/>
        <w:spacing w:line="360" w:lineRule="auto"/>
        <w:ind w:firstLine="480" w:firstLineChars="200"/>
        <w:rPr>
          <w:rFonts w:ascii="方正仿宋_GBK" w:hAnsi="方正仿宋_GBK" w:eastAsia="方正仿宋_GBK"/>
          <w:sz w:val="24"/>
          <w:szCs w:val="24"/>
        </w:rPr>
      </w:pPr>
      <w:bookmarkStart w:id="51" w:name="_Toc303945820"/>
      <w:bookmarkStart w:id="52" w:name="_Toc148265480"/>
      <w:r>
        <w:rPr>
          <w:rFonts w:hint="eastAsia" w:ascii="方正仿宋_GBK" w:hAnsi="方正仿宋_GBK" w:eastAsia="方正仿宋_GBK"/>
          <w:sz w:val="24"/>
          <w:szCs w:val="24"/>
        </w:rPr>
        <w:t>根据《中华人民共和国民法典》及国家和地方有关建筑电梯设施的法规、技术规范，遵循平等、自愿、公平和诚实信用的原则，双方就本项目的电梯设施维保事项协商一致，签署本维保合同。</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第一条：合同双方</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采 购 人：                    （以下简称甲方）</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维保单位：                    （以下简称乙方）</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第二条：合同对象</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 xml:space="preserve">项目名称：重庆市江北区中医院康复大楼电梯设施维护保养项目（壹年）             </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 xml:space="preserve">项目地址：重庆市江北区建东一村35号                        </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维保范围：江北区中医院康复大楼电梯、扶梯设施</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维保内容及要求：详见招标文件</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第三条：合同执行目标</w:t>
      </w:r>
    </w:p>
    <w:p>
      <w:pPr>
        <w:spacing w:line="460" w:lineRule="exact"/>
        <w:ind w:firstLine="240" w:firstLineChars="100"/>
        <w:rPr>
          <w:rFonts w:ascii="方正仿宋_GBK" w:hAnsi="方正仿宋_GBK" w:eastAsia="方正仿宋_GBK"/>
          <w:sz w:val="24"/>
          <w:szCs w:val="24"/>
        </w:rPr>
      </w:pPr>
      <w:r>
        <w:rPr>
          <w:rFonts w:hint="eastAsia" w:ascii="方正仿宋_GBK" w:hAnsi="方正仿宋_GBK" w:eastAsia="方正仿宋_GBK"/>
          <w:sz w:val="24"/>
          <w:szCs w:val="24"/>
        </w:rPr>
        <w:t>1、根据国家和地方有关建筑电梯设施的技术规范，对合同范围内电梯进行维修保养，保障合同范围内电梯设施的正常运行。</w:t>
      </w:r>
    </w:p>
    <w:p>
      <w:pPr>
        <w:spacing w:line="460" w:lineRule="exact"/>
        <w:ind w:firstLine="240" w:firstLineChars="100"/>
        <w:rPr>
          <w:rFonts w:ascii="黑体" w:hAnsi="宋体" w:eastAsia="黑体"/>
          <w:color w:val="000000"/>
          <w:sz w:val="24"/>
          <w:szCs w:val="24"/>
        </w:rPr>
      </w:pPr>
      <w:r>
        <w:rPr>
          <w:rFonts w:hint="eastAsia" w:ascii="黑体" w:hAnsi="宋体" w:eastAsia="黑体"/>
          <w:color w:val="000000"/>
          <w:sz w:val="24"/>
          <w:szCs w:val="24"/>
        </w:rPr>
        <w:t xml:space="preserve">2、由有建筑电梯设施检测技术资质的公司在每年12月份对全院进行一次建筑电梯设施质量检测，并出具检测报告，所需费用由中标方负责。 </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第四条：双方责任</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一、甲方责任</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1、提供合同范围内经公安电梯机构验收合格的电梯全套施工竣工图纸、资料、设备使用说明书及所有电梯设施的合法合格手续。并且提供电梯报警主机数据库及调试软件和编码器。</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2、在维保过程中，如属甲方原因造成的和产品自身质量问题损坏经双方确认需要更换的设施、配件等费用由甲方承担。</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3、负责整个合同对象电梯设施系统设施设备的日常运行管理和监护，发现问题后立即通知乙方并为乙方提供必要的工作条件和方便。</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4、承担因甲方原因而造成电梯不能正常工作的责任。</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5、按合同约定的金额、期限和方式支付合同款项。</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二、乙方责任</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1、与甲方</w:t>
      </w:r>
      <w:r>
        <w:rPr>
          <w:rFonts w:hint="eastAsia" w:ascii="黑体" w:hAnsi="宋体" w:eastAsia="黑体"/>
          <w:color w:val="000000"/>
          <w:sz w:val="24"/>
          <w:szCs w:val="24"/>
        </w:rPr>
        <w:t>签订合同后15天内，</w:t>
      </w:r>
      <w:r>
        <w:rPr>
          <w:rFonts w:hint="eastAsia" w:ascii="方正仿宋_GBK" w:hAnsi="方正仿宋_GBK" w:eastAsia="方正仿宋_GBK"/>
          <w:sz w:val="24"/>
          <w:szCs w:val="24"/>
        </w:rPr>
        <w:t>根据国家和地方有关建筑电梯设施的法规和技术规范，</w:t>
      </w:r>
      <w:r>
        <w:rPr>
          <w:rFonts w:hint="eastAsia" w:ascii="黑体" w:hAnsi="宋体" w:eastAsia="黑体"/>
          <w:color w:val="000000"/>
          <w:sz w:val="24"/>
          <w:szCs w:val="24"/>
        </w:rPr>
        <w:t>对医院电梯进行一次全面检查和维修，</w:t>
      </w:r>
      <w:r>
        <w:rPr>
          <w:rFonts w:hint="eastAsia" w:ascii="方正仿宋_GBK" w:hAnsi="方正仿宋_GBK" w:eastAsia="方正仿宋_GBK"/>
          <w:sz w:val="24"/>
          <w:szCs w:val="24"/>
        </w:rPr>
        <w:t>保障其能正常运行。</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2、对合同范围内的电梯设施进行定期（月检、季检、年检）检查，具体内容详见招标文件。</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3、检测、维修的工具、设备由乙方负责。（设备本身自带的除外）</w:t>
      </w:r>
    </w:p>
    <w:p>
      <w:pPr>
        <w:pStyle w:val="29"/>
        <w:spacing w:line="360" w:lineRule="auto"/>
        <w:ind w:firstLine="480" w:firstLineChars="200"/>
        <w:rPr>
          <w:rFonts w:ascii="方正兰亭黑_YS_GB18030" w:hAnsi="方正兰亭黑_YS_GB18030" w:eastAsia="方正兰亭黑_YS_GB18030" w:cs="方正兰亭黑_YS_GB18030"/>
          <w:b/>
          <w:bCs/>
          <w:sz w:val="24"/>
          <w:szCs w:val="24"/>
        </w:rPr>
      </w:pPr>
      <w:r>
        <w:rPr>
          <w:rFonts w:hint="eastAsia" w:ascii="方正仿宋_GBK" w:hAnsi="方正仿宋_GBK" w:eastAsia="方正仿宋_GBK"/>
          <w:sz w:val="24"/>
          <w:szCs w:val="24"/>
        </w:rPr>
        <w:t>4、在维保过程中，如属产品自身质量缺陷，由乙方联系产品供货商进行更换；若供货商不免费更换，则由甲方承担；</w:t>
      </w:r>
      <w:r>
        <w:rPr>
          <w:rFonts w:hint="eastAsia" w:ascii="方正兰亭黑_YS_GB18030" w:hAnsi="方正兰亭黑_YS_GB18030" w:eastAsia="方正兰亭黑_YS_GB18030" w:cs="方正兰亭黑_YS_GB18030"/>
          <w:b/>
          <w:bCs/>
          <w:sz w:val="24"/>
          <w:szCs w:val="24"/>
        </w:rPr>
        <w:t>更换的材料、设备各项参数、指标应满足原设计及以上要求，品牌、价格需双方签字认可。</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5、应在接到甲方故障通知后4小时内到达现场排除故障，如遇紧急情况1小时内应到达现场排除故障。一般故障应在当天完成维修。如遇重大故障（如主机机板故障，水泵故障等）需在2天内完成维修。</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6、对适时维修、定期检测维修后，向甲方提供合同检测、维修书面记录，经由甲、乙双方现场代表签字后各持壹份存档。</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7、在年度合同期结束后，向甲方出具年度检测维修报告，经由甲、乙双方负责人签字后各持壹份存档。</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8、乙方在进场维护、检测时须遵守甲方的相关规定。</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9、乙方需全力提供甲方因工程改造涉及到的电梯变更等技术支持。</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10、乙方应向甲方提供维保人员相关资料。</w:t>
      </w:r>
    </w:p>
    <w:p>
      <w:pPr>
        <w:pStyle w:val="29"/>
        <w:spacing w:line="360" w:lineRule="auto"/>
        <w:ind w:firstLine="480" w:firstLineChars="200"/>
        <w:rPr>
          <w:rFonts w:eastAsia="方正仿宋_GBK"/>
        </w:rPr>
      </w:pPr>
      <w:r>
        <w:rPr>
          <w:rFonts w:hint="eastAsia" w:ascii="方正仿宋_GBK" w:hAnsi="方正仿宋_GBK" w:eastAsia="方正仿宋_GBK"/>
          <w:sz w:val="24"/>
          <w:szCs w:val="24"/>
        </w:rPr>
        <w:t>11、因乙方维保不到位，被电梯等部门查处的法律、经济责任由乙方承担。</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三、共同责任</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1、甲、乙双方应遵守和执行国家、地方有关建筑电梯设施的法规和技术规范。</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2、甲、乙双方有义务向公安电梯机构报告合同对象的运行情况并接受其监督。</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第五条：合同执行期限</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本合同执行自   年   月    日起至   年  月   日止，合同期为壹年。</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第六条：合同金额、付款方式</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1、合同金额：本合同总价人民币大写：       小写（￥       元）。。</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2、合同签订前，乙方向甲方缴纳履约保证金    元（中标金额的5%）。</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3、付款方式：</w:t>
      </w:r>
    </w:p>
    <w:p>
      <w:pPr>
        <w:pStyle w:val="29"/>
        <w:spacing w:line="360" w:lineRule="auto"/>
        <w:ind w:firstLine="480" w:firstLineChars="200"/>
        <w:rPr>
          <w:rFonts w:ascii="方正仿宋_GBK" w:hAnsi="方正仿宋_GBK" w:eastAsia="方正仿宋_GBK"/>
          <w:sz w:val="24"/>
        </w:rPr>
      </w:pPr>
      <w:r>
        <w:rPr>
          <w:rFonts w:hint="eastAsia" w:ascii="方正仿宋_GBK" w:hAnsi="方正仿宋_GBK" w:eastAsia="方正仿宋_GBK"/>
          <w:sz w:val="24"/>
          <w:szCs w:val="24"/>
        </w:rPr>
        <w:t>（1）一年内分期付款，合同签订进场后，以维保服务进度满半年支付当年全部款项的50%。进度款支付条件：在维保服务期间，维保服务商提供服务未违反招标要求以及合同约</w:t>
      </w:r>
      <w:r>
        <w:rPr>
          <w:rFonts w:hint="eastAsia" w:ascii="黑体" w:hAnsi="宋体" w:eastAsia="黑体"/>
          <w:color w:val="000000"/>
          <w:sz w:val="24"/>
          <w:szCs w:val="24"/>
        </w:rPr>
        <w:t>定且验收合格。合同期满，验收合格，15个工作日内支付当年全部余款。</w:t>
      </w:r>
      <w:r>
        <w:rPr>
          <w:rFonts w:hint="eastAsia" w:ascii="方正仿宋_GBK" w:hAnsi="方正仿宋_GBK" w:eastAsia="方正仿宋_GBK"/>
          <w:sz w:val="24"/>
        </w:rPr>
        <w:t>如当年有扣款的，则从应付合同款中直接扣除。</w:t>
      </w:r>
    </w:p>
    <w:p>
      <w:pPr>
        <w:pStyle w:val="29"/>
        <w:spacing w:line="360" w:lineRule="auto"/>
        <w:ind w:firstLine="360" w:firstLineChars="150"/>
        <w:rPr>
          <w:rFonts w:ascii="方正仿宋_GBK" w:hAnsi="方正仿宋_GBK" w:eastAsia="方正仿宋_GBK"/>
          <w:sz w:val="24"/>
        </w:rPr>
      </w:pPr>
      <w:r>
        <w:rPr>
          <w:rFonts w:hint="eastAsia" w:ascii="方正仿宋_GBK" w:hAnsi="方正仿宋_GBK" w:eastAsia="方正仿宋_GBK"/>
          <w:sz w:val="24"/>
        </w:rPr>
        <w:t xml:space="preserve"> （2）更换材料费用的支付：每半年由维保单位开具发票后结算一次（凭双方签字认可的材料签证单及双方认定的价格结算）</w:t>
      </w:r>
      <w:r>
        <w:rPr>
          <w:rFonts w:hint="eastAsia" w:ascii="方正仿宋_GBK" w:hAnsi="方正仿宋_GBK" w:eastAsia="方正仿宋_GBK"/>
          <w:sz w:val="24"/>
          <w:szCs w:val="24"/>
        </w:rPr>
        <w:t>。</w:t>
      </w:r>
    </w:p>
    <w:p>
      <w:pPr>
        <w:pStyle w:val="29"/>
        <w:numPr>
          <w:ilvl w:val="0"/>
          <w:numId w:val="3"/>
        </w:numPr>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rPr>
        <w:t>支付方式为转帐支票。</w:t>
      </w:r>
    </w:p>
    <w:p>
      <w:pPr>
        <w:pStyle w:val="29"/>
        <w:spacing w:line="360" w:lineRule="auto"/>
        <w:rPr>
          <w:rFonts w:ascii="方正仿宋_GBK" w:hAnsi="方正仿宋_GBK" w:eastAsia="方正仿宋_GBK"/>
          <w:sz w:val="24"/>
          <w:szCs w:val="24"/>
        </w:rPr>
      </w:pPr>
      <w:r>
        <w:rPr>
          <w:rFonts w:hint="eastAsia" w:ascii="方正仿宋_GBK" w:hAnsi="方正仿宋_GBK" w:eastAsia="方正仿宋_GBK"/>
          <w:sz w:val="24"/>
          <w:szCs w:val="24"/>
        </w:rPr>
        <w:t xml:space="preserve">    第七条：违约责任</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1、双方不得无故终止合同，如有违约，则由违约方按当年未执行部份合同金额的50%一次性向对方赔付违约金。</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2、乙方在合同期内少测试或未出具测试报告一次(月、季、年)按当年合同金额的15%扣除；如乙方出现两月以上（含两月）未按规定时间对甲方电梯设施进行测试并出具测试报告，甲方有权提前终止合同，并保留追究乙方责任的权利。</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3、如甲方未按合同规定时限支付合同款项，则按当年合同金额的百分之三向乙方支付滞纳金。</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第八条：其它</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1、本合同由甲、乙两方法定代表人或者其委托人签字盖章后生效。</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2、本合同一式六份，由甲、乙两方各持三份，均具有同等法律效力。</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3、本合同在实施过程中若需要破土、拆墙、开检修孔等工作均由甲方负责实施和承担相关费用。</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4、在乙方执行合同期间，甲方电梯新增、改造部份在本合同维保范围内。</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5、未经甲方同意，乙方不得提取、更改甲方设备内的相关数据。</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6、合同期满前一月，甲方可选择重新确定维保单位或续合同，在甲方未确定新的维保单位前，乙方需按现合同及招标文件的要求继续实施维保</w:t>
      </w:r>
      <w:r>
        <w:rPr>
          <w:rFonts w:hint="eastAsia" w:ascii="黑体" w:hAnsi="宋体" w:eastAsia="黑体"/>
          <w:color w:val="000000"/>
          <w:sz w:val="24"/>
          <w:szCs w:val="24"/>
        </w:rPr>
        <w:t>，费用按月进行计算。确定新的维保单位后，</w:t>
      </w:r>
      <w:r>
        <w:rPr>
          <w:rFonts w:hint="eastAsia" w:ascii="方正仿宋_GBK" w:hAnsi="方正仿宋_GBK" w:eastAsia="方正仿宋_GBK"/>
          <w:sz w:val="24"/>
          <w:szCs w:val="24"/>
        </w:rPr>
        <w:t>乙方</w:t>
      </w:r>
      <w:r>
        <w:rPr>
          <w:rFonts w:hint="eastAsia" w:ascii="黑体" w:hAnsi="宋体" w:eastAsia="黑体"/>
          <w:color w:val="000000"/>
          <w:sz w:val="24"/>
          <w:szCs w:val="24"/>
        </w:rPr>
        <w:t>需配合新的维保单位进行维保</w:t>
      </w:r>
      <w:r>
        <w:rPr>
          <w:rFonts w:hint="eastAsia" w:ascii="方正仿宋_GBK" w:eastAsia="方正仿宋_GBK"/>
          <w:bCs/>
          <w:kern w:val="0"/>
          <w:sz w:val="24"/>
          <w:szCs w:val="24"/>
        </w:rPr>
        <w:t>交接。</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7、凡本合同未涉及的部分或产生歧义的部分，均以甲方    年     月的竞争性磋商文件和投标文件为准。其他未尽事宜双方协商解决或向项目所在地人民法院起诉。</w:t>
      </w:r>
    </w:p>
    <w:p>
      <w:pPr>
        <w:pStyle w:val="29"/>
        <w:spacing w:line="360" w:lineRule="auto"/>
        <w:ind w:firstLine="480" w:firstLineChars="200"/>
        <w:rPr>
          <w:rFonts w:ascii="方正仿宋_GBK" w:hAnsi="方正仿宋_GBK" w:eastAsia="方正仿宋_GBK"/>
          <w:sz w:val="24"/>
          <w:szCs w:val="24"/>
        </w:rPr>
      </w:pP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 xml:space="preserve">甲方（盖章）：           乙方（盖章）：                                           </w:t>
      </w:r>
    </w:p>
    <w:p>
      <w:pPr>
        <w:pStyle w:val="29"/>
        <w:spacing w:line="360" w:lineRule="auto"/>
        <w:ind w:firstLine="480" w:firstLineChars="200"/>
        <w:rPr>
          <w:rFonts w:ascii="方正仿宋_GBK" w:hAnsi="方正仿宋_GBK" w:eastAsia="方正仿宋_GBK"/>
          <w:sz w:val="24"/>
          <w:szCs w:val="24"/>
        </w:rPr>
      </w:pP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 xml:space="preserve">负责人（签字）           负责人（签字）：        </w:t>
      </w:r>
    </w:p>
    <w:p>
      <w:pPr>
        <w:pStyle w:val="6"/>
      </w:pPr>
    </w:p>
    <w:p>
      <w:pPr>
        <w:pStyle w:val="29"/>
        <w:spacing w:line="360" w:lineRule="auto"/>
        <w:ind w:firstLine="480" w:firstLineChars="200"/>
      </w:pPr>
      <w:r>
        <w:rPr>
          <w:rFonts w:hint="eastAsia" w:ascii="方正仿宋_GBK" w:hAnsi="方正仿宋_GBK" w:eastAsia="方正仿宋_GBK"/>
          <w:sz w:val="24"/>
          <w:szCs w:val="24"/>
        </w:rPr>
        <w:t>代  表（签字）：</w:t>
      </w:r>
      <w:r>
        <w:rPr>
          <w:rFonts w:hint="eastAsia" w:ascii="方正仿宋_GBK" w:hAnsi="方正仿宋_GBK" w:eastAsia="方正仿宋_GBK"/>
          <w:sz w:val="24"/>
          <w:szCs w:val="24"/>
        </w:rPr>
        <w:tab/>
      </w:r>
      <w:r>
        <w:rPr>
          <w:rFonts w:hint="eastAsia" w:ascii="方正仿宋_GBK" w:hAnsi="方正仿宋_GBK" w:eastAsia="方正仿宋_GBK"/>
          <w:sz w:val="24"/>
          <w:szCs w:val="24"/>
        </w:rPr>
        <w:tab/>
      </w:r>
      <w:r>
        <w:rPr>
          <w:rFonts w:hint="eastAsia" w:ascii="方正仿宋_GBK" w:hAnsi="方正仿宋_GBK" w:eastAsia="方正仿宋_GBK"/>
          <w:sz w:val="24"/>
          <w:szCs w:val="24"/>
        </w:rPr>
        <w:t xml:space="preserve">    代  表（签字）：    </w:t>
      </w:r>
    </w:p>
    <w:bookmarkEnd w:id="51"/>
    <w:bookmarkEnd w:id="52"/>
    <w:p/>
    <w:p/>
    <w:p>
      <w:pPr>
        <w:jc w:val="center"/>
        <w:rPr>
          <w:rFonts w:hint="eastAsia" w:ascii="宋体" w:hAnsi="宋体" w:cs="仿宋"/>
          <w:b/>
          <w:bCs/>
          <w:sz w:val="36"/>
          <w:szCs w:val="36"/>
        </w:rPr>
      </w:pPr>
    </w:p>
    <w:p>
      <w:pPr>
        <w:jc w:val="center"/>
      </w:pPr>
      <w:r>
        <w:rPr>
          <w:rFonts w:hint="eastAsia" w:ascii="宋体" w:hAnsi="宋体" w:cs="仿宋"/>
          <w:b/>
          <w:bCs/>
          <w:sz w:val="36"/>
          <w:szCs w:val="36"/>
        </w:rPr>
        <w:t xml:space="preserve">第七篇  </w:t>
      </w:r>
      <w:r>
        <w:rPr>
          <w:rFonts w:hint="eastAsia" w:ascii="黑体" w:hAnsi="宋体"/>
          <w:b/>
          <w:color w:val="000000"/>
          <w:sz w:val="36"/>
          <w:szCs w:val="30"/>
        </w:rPr>
        <w:t>响应文件格式要求</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一、经济部分</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（一）竞争性报价函</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（二）开标一览表</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二、服务部分</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（一）服务应答（</w:t>
      </w:r>
      <w:r>
        <w:rPr>
          <w:rFonts w:hint="eastAsia" w:ascii="黑体" w:hAnsi="宋体" w:eastAsia="黑体"/>
          <w:b/>
          <w:bCs/>
          <w:color w:val="000000"/>
          <w:sz w:val="24"/>
          <w:szCs w:val="24"/>
        </w:rPr>
        <w:t>需提供维保方案</w:t>
      </w:r>
      <w:r>
        <w:rPr>
          <w:rFonts w:hint="eastAsia" w:ascii="黑体" w:hAnsi="宋体" w:eastAsia="黑体"/>
          <w:color w:val="000000"/>
          <w:sz w:val="24"/>
          <w:szCs w:val="24"/>
        </w:rPr>
        <w:t>）</w:t>
      </w:r>
    </w:p>
    <w:p>
      <w:pPr>
        <w:spacing w:line="440" w:lineRule="exact"/>
        <w:ind w:firstLine="482" w:firstLineChars="200"/>
        <w:rPr>
          <w:rFonts w:ascii="黑体" w:hAnsi="宋体" w:eastAsia="黑体"/>
          <w:color w:val="000000"/>
          <w:sz w:val="24"/>
          <w:szCs w:val="24"/>
        </w:rPr>
      </w:pPr>
      <w:r>
        <w:rPr>
          <w:rFonts w:hint="eastAsia" w:ascii="黑体" w:hAnsi="宋体" w:eastAsia="黑体"/>
          <w:b/>
          <w:bCs/>
          <w:color w:val="000000"/>
          <w:sz w:val="24"/>
          <w:szCs w:val="24"/>
        </w:rPr>
        <w:t>（二）维保方案格式要求</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（二）服务响应偏离表</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三、商务部分</w:t>
      </w:r>
    </w:p>
    <w:p>
      <w:pPr>
        <w:spacing w:line="440" w:lineRule="exact"/>
        <w:ind w:firstLine="480" w:firstLineChars="200"/>
        <w:rPr>
          <w:rFonts w:ascii="黑体" w:hAnsi="宋体" w:eastAsia="黑体"/>
          <w:b/>
          <w:bCs/>
          <w:color w:val="000000"/>
          <w:sz w:val="24"/>
          <w:szCs w:val="24"/>
        </w:rPr>
      </w:pPr>
      <w:r>
        <w:rPr>
          <w:rFonts w:hint="eastAsia" w:ascii="黑体" w:hAnsi="宋体" w:eastAsia="黑体"/>
          <w:color w:val="000000"/>
          <w:sz w:val="24"/>
          <w:szCs w:val="24"/>
        </w:rPr>
        <w:t>（一）商务要求响应情况：交货期、质量保证期、售后服务条款等。（需提供</w:t>
      </w:r>
      <w:r>
        <w:rPr>
          <w:rFonts w:hint="eastAsia" w:ascii="黑体" w:hAnsi="宋体" w:eastAsia="黑体"/>
          <w:b/>
          <w:bCs/>
          <w:color w:val="000000"/>
          <w:sz w:val="24"/>
          <w:szCs w:val="24"/>
        </w:rPr>
        <w:t>服务承诺）</w:t>
      </w:r>
    </w:p>
    <w:p>
      <w:pPr>
        <w:spacing w:line="440" w:lineRule="exact"/>
        <w:ind w:firstLine="482" w:firstLineChars="200"/>
        <w:rPr>
          <w:rFonts w:ascii="黑体" w:hAnsi="宋体" w:eastAsia="黑体"/>
          <w:b/>
          <w:bCs/>
          <w:color w:val="000000"/>
          <w:sz w:val="24"/>
          <w:szCs w:val="24"/>
        </w:rPr>
      </w:pPr>
      <w:r>
        <w:rPr>
          <w:rFonts w:hint="eastAsia" w:ascii="黑体" w:hAnsi="宋体" w:eastAsia="黑体"/>
          <w:b/>
          <w:bCs/>
          <w:color w:val="000000"/>
          <w:sz w:val="24"/>
          <w:szCs w:val="24"/>
        </w:rPr>
        <w:t>（二）服务承诺内容要求</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（三）商务响应偏离表</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（四）其它优惠承诺</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四、资格条件及其他</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（一）一般资格条件：</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1、法人营业执照副本复印件；</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2、税务登记证副本复印件；</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3、法定代表人身份证明书（格式）</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4、法定代表人授权委托书（格式）</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5、诚信声明（格式）</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（二）特定资格条件证明材料复印件</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（三）其他应提供的资料</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1保证金交纳凭证</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2退还投标保证金信息登记表</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3其他与项目有关的资料</w:t>
      </w:r>
    </w:p>
    <w:p>
      <w:pPr>
        <w:snapToGrid w:val="0"/>
        <w:spacing w:line="360" w:lineRule="auto"/>
        <w:rPr>
          <w:rFonts w:ascii="黑体" w:hAnsi="宋体" w:eastAsia="黑体"/>
          <w:color w:val="000000"/>
          <w:sz w:val="24"/>
          <w:szCs w:val="24"/>
          <w:bdr w:val="single" w:color="auto" w:sz="4" w:space="0"/>
        </w:rPr>
        <w:sectPr>
          <w:footerReference r:id="rId5" w:type="default"/>
          <w:footerReference r:id="rId6" w:type="even"/>
          <w:pgSz w:w="11907" w:h="16840"/>
          <w:pgMar w:top="1134" w:right="1191" w:bottom="1134" w:left="1304" w:header="851" w:footer="992" w:gutter="0"/>
          <w:cols w:space="720" w:num="1"/>
          <w:docGrid w:linePitch="380" w:charSpace="-5735"/>
        </w:sectPr>
      </w:pPr>
    </w:p>
    <w:p>
      <w:pPr>
        <w:pStyle w:val="3"/>
        <w:spacing w:before="0" w:after="0" w:line="360" w:lineRule="auto"/>
        <w:rPr>
          <w:rFonts w:ascii="黑体" w:hAnsi="宋体" w:eastAsia="黑体"/>
          <w:color w:val="000000"/>
          <w:sz w:val="24"/>
          <w:szCs w:val="24"/>
        </w:rPr>
      </w:pPr>
      <w:bookmarkStart w:id="53" w:name="_Toc415471845"/>
      <w:bookmarkStart w:id="54" w:name="_Toc313008356"/>
      <w:bookmarkStart w:id="55" w:name="_Toc313888360"/>
      <w:bookmarkStart w:id="56" w:name="_Toc342913419"/>
      <w:bookmarkStart w:id="57" w:name="_Toc12789073"/>
      <w:bookmarkStart w:id="58" w:name="_Toc283382454"/>
      <w:r>
        <w:rPr>
          <w:rFonts w:hint="eastAsia" w:ascii="黑体" w:hAnsi="宋体" w:eastAsia="黑体"/>
          <w:color w:val="000000"/>
          <w:sz w:val="24"/>
          <w:szCs w:val="24"/>
        </w:rPr>
        <w:t>一、经济部分</w:t>
      </w:r>
      <w:bookmarkEnd w:id="53"/>
      <w:bookmarkEnd w:id="54"/>
      <w:bookmarkEnd w:id="55"/>
      <w:bookmarkEnd w:id="56"/>
    </w:p>
    <w:bookmarkEnd w:id="57"/>
    <w:bookmarkEnd w:id="58"/>
    <w:p>
      <w:pPr>
        <w:tabs>
          <w:tab w:val="left" w:pos="6300"/>
        </w:tabs>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（一）竞争性报价函</w:t>
      </w:r>
    </w:p>
    <w:p>
      <w:pPr>
        <w:tabs>
          <w:tab w:val="left" w:pos="6300"/>
        </w:tabs>
        <w:snapToGrid w:val="0"/>
        <w:spacing w:line="480" w:lineRule="exact"/>
        <w:jc w:val="center"/>
        <w:outlineLvl w:val="0"/>
        <w:rPr>
          <w:rFonts w:ascii="黑体" w:hAnsi="宋体" w:eastAsia="黑体"/>
          <w:b/>
          <w:color w:val="000000"/>
          <w:szCs w:val="28"/>
        </w:rPr>
      </w:pPr>
      <w:r>
        <w:rPr>
          <w:rFonts w:hint="eastAsia" w:ascii="黑体" w:hAnsi="宋体" w:eastAsia="黑体"/>
          <w:b/>
          <w:color w:val="000000"/>
          <w:szCs w:val="28"/>
        </w:rPr>
        <w:t>竞争性报价函</w:t>
      </w:r>
    </w:p>
    <w:p>
      <w:pPr>
        <w:tabs>
          <w:tab w:val="left" w:pos="6300"/>
        </w:tabs>
        <w:snapToGrid w:val="0"/>
        <w:spacing w:line="360" w:lineRule="auto"/>
        <w:rPr>
          <w:rFonts w:ascii="黑体" w:hAnsi="宋体" w:eastAsia="黑体"/>
          <w:color w:val="000000"/>
          <w:sz w:val="24"/>
          <w:szCs w:val="24"/>
        </w:rPr>
      </w:pPr>
      <w:r>
        <w:rPr>
          <w:rFonts w:hint="eastAsia" w:ascii="黑体" w:hAnsi="宋体" w:eastAsia="黑体"/>
          <w:color w:val="000000"/>
          <w:sz w:val="24"/>
          <w:szCs w:val="24"/>
          <w:u w:val="single"/>
        </w:rPr>
        <w:t>重庆市江北区中医院</w:t>
      </w:r>
      <w:r>
        <w:rPr>
          <w:rFonts w:hint="eastAsia" w:ascii="黑体" w:hAnsi="宋体" w:eastAsia="黑体"/>
          <w:color w:val="000000"/>
          <w:sz w:val="24"/>
          <w:szCs w:val="24"/>
        </w:rPr>
        <w:t>：</w:t>
      </w:r>
    </w:p>
    <w:p>
      <w:pPr>
        <w:tabs>
          <w:tab w:val="left" w:pos="6300"/>
        </w:tabs>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我方收到____________________________（磋商项目名称）的竞争性磋商文件，经详细研究，决定参加该磋商项目的竞争磋商。</w:t>
      </w:r>
    </w:p>
    <w:p>
      <w:pPr>
        <w:tabs>
          <w:tab w:val="left" w:pos="6300"/>
        </w:tabs>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1、愿意按照竞争性磋商文件中的一切要求，提供本项目的交货及技术服务，初始报价详见开标一览表。以我公司最后报价为准。</w:t>
      </w:r>
    </w:p>
    <w:p>
      <w:pPr>
        <w:tabs>
          <w:tab w:val="left" w:pos="6300"/>
        </w:tabs>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2、我方现提交的响应文件为：响应文件正本份，副本份。</w:t>
      </w:r>
    </w:p>
    <w:p>
      <w:p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3、我方承诺：本次磋商的有效期为90天。</w:t>
      </w:r>
    </w:p>
    <w:p>
      <w:pPr>
        <w:tabs>
          <w:tab w:val="left" w:pos="6300"/>
        </w:tabs>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4、我方完全理解和接受贵方竞争性磋商文件的一切规定和要求及磋商评审办法。</w:t>
      </w:r>
    </w:p>
    <w:p>
      <w:pPr>
        <w:tabs>
          <w:tab w:val="left" w:pos="6300"/>
        </w:tabs>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5、在整个竞争性磋商过程中，我方若有违规行为，接受按照《中华人民共和国政府采购法》和《竞争性磋商文件》之规定给予惩罚。</w:t>
      </w:r>
    </w:p>
    <w:p>
      <w:pPr>
        <w:tabs>
          <w:tab w:val="left" w:pos="6300"/>
        </w:tabs>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7、我方同意按竞争性磋商文件规定，交纳竞争性磋商文件要求的保证金。如果我方成为成交供应商，保证在接到成交通知书后，向采购代理机构交纳竞争性磋商文件规定的采购代理服务费。</w:t>
      </w:r>
    </w:p>
    <w:p>
      <w:pPr>
        <w:tabs>
          <w:tab w:val="left" w:pos="6300"/>
        </w:tabs>
        <w:snapToGrid w:val="0"/>
        <w:spacing w:line="360" w:lineRule="auto"/>
        <w:ind w:firstLine="570"/>
        <w:rPr>
          <w:rFonts w:ascii="黑体" w:hAnsi="宋体" w:eastAsia="黑体"/>
          <w:color w:val="000000"/>
          <w:sz w:val="24"/>
          <w:szCs w:val="24"/>
        </w:rPr>
      </w:pPr>
      <w:r>
        <w:rPr>
          <w:rFonts w:hint="eastAsia" w:ascii="黑体" w:hAnsi="宋体" w:eastAsia="黑体"/>
          <w:color w:val="000000"/>
          <w:sz w:val="24"/>
          <w:szCs w:val="24"/>
        </w:rPr>
        <w:t>供应商（公章）：</w:t>
      </w:r>
    </w:p>
    <w:p>
      <w:pPr>
        <w:tabs>
          <w:tab w:val="left" w:pos="6300"/>
        </w:tabs>
        <w:snapToGrid w:val="0"/>
        <w:spacing w:line="360" w:lineRule="auto"/>
        <w:ind w:firstLine="570"/>
        <w:rPr>
          <w:rFonts w:ascii="黑体" w:hAnsi="宋体" w:eastAsia="黑体"/>
          <w:color w:val="000000"/>
          <w:sz w:val="24"/>
          <w:szCs w:val="24"/>
        </w:rPr>
      </w:pPr>
      <w:r>
        <w:rPr>
          <w:rFonts w:hint="eastAsia" w:ascii="黑体" w:hAnsi="宋体" w:eastAsia="黑体"/>
          <w:color w:val="000000"/>
          <w:sz w:val="24"/>
          <w:szCs w:val="24"/>
        </w:rPr>
        <w:t xml:space="preserve">地址：  </w:t>
      </w:r>
    </w:p>
    <w:p>
      <w:pPr>
        <w:tabs>
          <w:tab w:val="left" w:pos="6300"/>
        </w:tabs>
        <w:snapToGrid w:val="0"/>
        <w:spacing w:line="360" w:lineRule="auto"/>
        <w:ind w:firstLine="570"/>
        <w:rPr>
          <w:rFonts w:ascii="黑体" w:hAnsi="宋体" w:eastAsia="黑体"/>
          <w:color w:val="000000"/>
          <w:sz w:val="24"/>
          <w:szCs w:val="24"/>
        </w:rPr>
      </w:pPr>
      <w:r>
        <w:rPr>
          <w:rFonts w:hint="eastAsia" w:ascii="黑体" w:hAnsi="宋体" w:eastAsia="黑体"/>
          <w:color w:val="000000"/>
          <w:sz w:val="24"/>
          <w:szCs w:val="24"/>
        </w:rPr>
        <w:t>电话：                           传真：</w:t>
      </w:r>
    </w:p>
    <w:p>
      <w:pPr>
        <w:tabs>
          <w:tab w:val="left" w:pos="6300"/>
        </w:tabs>
        <w:snapToGrid w:val="0"/>
        <w:spacing w:line="360" w:lineRule="auto"/>
        <w:ind w:firstLine="570"/>
        <w:rPr>
          <w:rFonts w:ascii="黑体" w:hAnsi="宋体" w:eastAsia="黑体"/>
          <w:color w:val="000000"/>
          <w:sz w:val="24"/>
          <w:szCs w:val="24"/>
        </w:rPr>
      </w:pPr>
      <w:r>
        <w:rPr>
          <w:rFonts w:hint="eastAsia" w:ascii="黑体" w:hAnsi="宋体" w:eastAsia="黑体"/>
          <w:color w:val="000000"/>
          <w:sz w:val="24"/>
          <w:szCs w:val="24"/>
        </w:rPr>
        <w:t>网址：                           邮编：</w:t>
      </w:r>
    </w:p>
    <w:p>
      <w:pPr>
        <w:tabs>
          <w:tab w:val="left" w:pos="6300"/>
        </w:tabs>
        <w:snapToGrid w:val="0"/>
        <w:spacing w:line="360" w:lineRule="auto"/>
        <w:ind w:firstLine="570"/>
        <w:rPr>
          <w:rFonts w:ascii="黑体" w:hAnsi="宋体" w:eastAsia="黑体"/>
          <w:color w:val="000000"/>
          <w:sz w:val="24"/>
          <w:szCs w:val="24"/>
        </w:rPr>
      </w:pPr>
      <w:r>
        <w:rPr>
          <w:rFonts w:hint="eastAsia" w:ascii="黑体" w:hAnsi="宋体" w:eastAsia="黑体"/>
          <w:color w:val="000000"/>
          <w:sz w:val="24"/>
          <w:szCs w:val="24"/>
        </w:rPr>
        <w:t>联系人：</w:t>
      </w:r>
    </w:p>
    <w:p>
      <w:pPr>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 xml:space="preserve">                               年   月   日</w:t>
      </w:r>
    </w:p>
    <w:p>
      <w:pPr>
        <w:snapToGrid w:val="0"/>
        <w:spacing w:line="360" w:lineRule="auto"/>
        <w:ind w:firstLine="480" w:firstLineChars="200"/>
        <w:rPr>
          <w:rFonts w:ascii="黑体" w:hAnsi="宋体" w:eastAsia="黑体"/>
          <w:color w:val="000000"/>
          <w:sz w:val="24"/>
          <w:szCs w:val="24"/>
        </w:rPr>
      </w:pPr>
    </w:p>
    <w:p>
      <w:pPr>
        <w:snapToGrid w:val="0"/>
        <w:spacing w:line="360" w:lineRule="auto"/>
        <w:ind w:firstLine="480" w:firstLineChars="200"/>
        <w:rPr>
          <w:rFonts w:ascii="黑体" w:hAnsi="宋体" w:eastAsia="黑体"/>
          <w:color w:val="000000"/>
          <w:sz w:val="24"/>
          <w:szCs w:val="24"/>
        </w:rPr>
      </w:pPr>
    </w:p>
    <w:p>
      <w:pPr>
        <w:snapToGrid w:val="0"/>
        <w:spacing w:line="360" w:lineRule="auto"/>
        <w:ind w:firstLine="480" w:firstLineChars="200"/>
        <w:rPr>
          <w:rFonts w:ascii="黑体" w:hAnsi="宋体" w:eastAsia="黑体"/>
          <w:color w:val="000000"/>
          <w:sz w:val="24"/>
          <w:szCs w:val="24"/>
        </w:rPr>
      </w:pPr>
    </w:p>
    <w:p>
      <w:pPr>
        <w:snapToGrid w:val="0"/>
        <w:spacing w:line="360" w:lineRule="auto"/>
        <w:ind w:firstLine="480" w:firstLineChars="200"/>
        <w:rPr>
          <w:rFonts w:ascii="黑体" w:hAnsi="宋体" w:eastAsia="黑体"/>
          <w:color w:val="000000"/>
          <w:sz w:val="24"/>
          <w:szCs w:val="24"/>
        </w:rPr>
      </w:pPr>
    </w:p>
    <w:p>
      <w:pPr>
        <w:snapToGrid w:val="0"/>
        <w:spacing w:line="360" w:lineRule="auto"/>
        <w:ind w:firstLine="480" w:firstLineChars="200"/>
        <w:rPr>
          <w:rFonts w:ascii="黑体" w:hAnsi="宋体" w:eastAsia="黑体"/>
          <w:color w:val="000000"/>
          <w:sz w:val="24"/>
          <w:szCs w:val="24"/>
        </w:rPr>
      </w:pPr>
    </w:p>
    <w:p>
      <w:pPr>
        <w:snapToGrid w:val="0"/>
        <w:spacing w:line="360" w:lineRule="auto"/>
        <w:ind w:firstLine="480" w:firstLineChars="200"/>
        <w:rPr>
          <w:rFonts w:ascii="黑体" w:hAnsi="宋体" w:eastAsia="黑体"/>
          <w:color w:val="000000"/>
          <w:sz w:val="24"/>
          <w:szCs w:val="24"/>
        </w:rPr>
      </w:pPr>
    </w:p>
    <w:p>
      <w:pPr>
        <w:snapToGrid w:val="0"/>
        <w:spacing w:line="360" w:lineRule="auto"/>
        <w:rPr>
          <w:rFonts w:ascii="黑体" w:hAnsi="宋体" w:eastAsia="黑体"/>
          <w:color w:val="000000"/>
          <w:sz w:val="24"/>
          <w:szCs w:val="24"/>
        </w:rPr>
      </w:pPr>
    </w:p>
    <w:p>
      <w:pPr>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（二）开标一览表</w:t>
      </w:r>
    </w:p>
    <w:p>
      <w:pPr>
        <w:spacing w:line="400" w:lineRule="exact"/>
        <w:rPr>
          <w:rFonts w:ascii="黑体" w:hAnsi="宋体" w:eastAsia="黑体"/>
          <w:color w:val="000000"/>
          <w:sz w:val="24"/>
          <w:szCs w:val="24"/>
        </w:rPr>
      </w:pPr>
      <w:r>
        <w:rPr>
          <w:rFonts w:hint="eastAsia" w:ascii="黑体" w:hAnsi="宋体" w:eastAsia="黑体"/>
          <w:color w:val="000000"/>
          <w:sz w:val="24"/>
          <w:szCs w:val="24"/>
        </w:rPr>
        <w:t>采购项目名称：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240"/>
        <w:gridCol w:w="840"/>
        <w:gridCol w:w="22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400" w:lineRule="exact"/>
              <w:rPr>
                <w:rFonts w:ascii="黑体" w:hAnsi="宋体" w:eastAsia="黑体"/>
                <w:color w:val="000000"/>
                <w:sz w:val="24"/>
                <w:szCs w:val="24"/>
              </w:rPr>
            </w:pPr>
            <w:r>
              <w:rPr>
                <w:rFonts w:hint="eastAsia" w:ascii="黑体" w:hAnsi="宋体" w:eastAsia="黑体"/>
                <w:color w:val="000000"/>
                <w:sz w:val="24"/>
                <w:szCs w:val="24"/>
              </w:rPr>
              <w:t>投标人全称</w:t>
            </w:r>
          </w:p>
        </w:tc>
        <w:tc>
          <w:tcPr>
            <w:tcW w:w="7840" w:type="dxa"/>
            <w:gridSpan w:val="4"/>
            <w:vAlign w:val="center"/>
          </w:tcPr>
          <w:p>
            <w:pPr>
              <w:spacing w:line="400" w:lineRule="exact"/>
              <w:rPr>
                <w:rFonts w:ascii="黑体" w:hAnsi="宋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400" w:lineRule="exact"/>
              <w:rPr>
                <w:rFonts w:ascii="黑体" w:hAnsi="宋体" w:eastAsia="黑体"/>
                <w:color w:val="000000"/>
                <w:sz w:val="24"/>
                <w:szCs w:val="24"/>
              </w:rPr>
            </w:pPr>
            <w:r>
              <w:rPr>
                <w:rFonts w:hint="eastAsia" w:ascii="黑体" w:hAnsi="宋体" w:eastAsia="黑体"/>
                <w:color w:val="000000"/>
                <w:sz w:val="24"/>
                <w:szCs w:val="24"/>
              </w:rPr>
              <w:t>分包号</w:t>
            </w:r>
          </w:p>
        </w:tc>
        <w:tc>
          <w:tcPr>
            <w:tcW w:w="2240" w:type="dxa"/>
            <w:vAlign w:val="center"/>
          </w:tcPr>
          <w:p>
            <w:pPr>
              <w:spacing w:line="400" w:lineRule="exact"/>
              <w:rPr>
                <w:rFonts w:ascii="黑体" w:hAnsi="宋体" w:eastAsia="黑体"/>
                <w:color w:val="000000"/>
                <w:sz w:val="24"/>
                <w:szCs w:val="24"/>
              </w:rPr>
            </w:pPr>
            <w:r>
              <w:rPr>
                <w:rFonts w:hint="eastAsia" w:ascii="黑体" w:hAnsi="宋体" w:eastAsia="黑体"/>
                <w:color w:val="000000"/>
                <w:sz w:val="24"/>
                <w:szCs w:val="24"/>
              </w:rPr>
              <w:t>招标分包项目名称</w:t>
            </w:r>
          </w:p>
        </w:tc>
        <w:tc>
          <w:tcPr>
            <w:tcW w:w="840" w:type="dxa"/>
            <w:vAlign w:val="center"/>
          </w:tcPr>
          <w:p>
            <w:pPr>
              <w:spacing w:line="400" w:lineRule="exact"/>
              <w:rPr>
                <w:rFonts w:ascii="黑体" w:hAnsi="宋体" w:eastAsia="黑体"/>
                <w:color w:val="000000"/>
                <w:sz w:val="24"/>
                <w:szCs w:val="24"/>
              </w:rPr>
            </w:pPr>
            <w:r>
              <w:rPr>
                <w:rFonts w:hint="eastAsia" w:ascii="黑体" w:hAnsi="宋体" w:eastAsia="黑体"/>
                <w:color w:val="000000"/>
                <w:sz w:val="24"/>
                <w:szCs w:val="24"/>
              </w:rPr>
              <w:t>数量</w:t>
            </w:r>
          </w:p>
        </w:tc>
        <w:tc>
          <w:tcPr>
            <w:tcW w:w="2240" w:type="dxa"/>
            <w:vAlign w:val="center"/>
          </w:tcPr>
          <w:p>
            <w:pPr>
              <w:spacing w:line="400" w:lineRule="exact"/>
              <w:rPr>
                <w:rFonts w:ascii="黑体" w:hAnsi="宋体" w:eastAsia="黑体"/>
                <w:color w:val="000000"/>
                <w:sz w:val="24"/>
                <w:szCs w:val="24"/>
              </w:rPr>
            </w:pPr>
            <w:r>
              <w:rPr>
                <w:rFonts w:hint="eastAsia" w:ascii="黑体" w:hAnsi="宋体" w:eastAsia="黑体"/>
                <w:color w:val="000000"/>
                <w:sz w:val="24"/>
                <w:szCs w:val="24"/>
              </w:rPr>
              <w:t>投标报价（小写）</w:t>
            </w:r>
          </w:p>
          <w:p>
            <w:pPr>
              <w:spacing w:line="400" w:lineRule="exact"/>
              <w:rPr>
                <w:rFonts w:ascii="黑体" w:hAnsi="宋体" w:eastAsia="黑体"/>
                <w:color w:val="000000"/>
                <w:sz w:val="24"/>
                <w:szCs w:val="24"/>
              </w:rPr>
            </w:pPr>
            <w:r>
              <w:rPr>
                <w:rFonts w:hint="eastAsia" w:ascii="黑体" w:hAnsi="宋体" w:eastAsia="黑体"/>
                <w:color w:val="000000"/>
                <w:sz w:val="24"/>
                <w:szCs w:val="24"/>
              </w:rPr>
              <w:t>单位（元）</w:t>
            </w:r>
          </w:p>
        </w:tc>
        <w:tc>
          <w:tcPr>
            <w:tcW w:w="2520" w:type="dxa"/>
            <w:vAlign w:val="center"/>
          </w:tcPr>
          <w:p>
            <w:pPr>
              <w:spacing w:line="400" w:lineRule="exact"/>
              <w:rPr>
                <w:rFonts w:ascii="黑体" w:hAnsi="宋体" w:eastAsia="黑体"/>
                <w:color w:val="000000"/>
                <w:sz w:val="24"/>
                <w:szCs w:val="24"/>
              </w:rPr>
            </w:pPr>
            <w:r>
              <w:rPr>
                <w:rFonts w:hint="eastAsia" w:ascii="黑体" w:hAnsi="宋体" w:eastAsia="黑体"/>
                <w:color w:val="000000"/>
                <w:sz w:val="24"/>
                <w:szCs w:val="24"/>
              </w:rPr>
              <w:t>维保年限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400" w:lineRule="exact"/>
              <w:rPr>
                <w:rFonts w:ascii="黑体" w:hAnsi="宋体" w:eastAsia="黑体"/>
                <w:color w:val="000000"/>
                <w:sz w:val="24"/>
                <w:szCs w:val="24"/>
              </w:rPr>
            </w:pPr>
          </w:p>
        </w:tc>
        <w:tc>
          <w:tcPr>
            <w:tcW w:w="2240" w:type="dxa"/>
            <w:tcBorders>
              <w:bottom w:val="single" w:color="auto" w:sz="4" w:space="0"/>
            </w:tcBorders>
          </w:tcPr>
          <w:p>
            <w:pPr>
              <w:spacing w:line="400" w:lineRule="exact"/>
              <w:rPr>
                <w:rFonts w:ascii="黑体" w:hAnsi="宋体" w:eastAsia="黑体"/>
                <w:color w:val="000000"/>
                <w:sz w:val="24"/>
                <w:szCs w:val="24"/>
              </w:rPr>
            </w:pPr>
          </w:p>
        </w:tc>
        <w:tc>
          <w:tcPr>
            <w:tcW w:w="840" w:type="dxa"/>
            <w:tcBorders>
              <w:bottom w:val="single" w:color="auto" w:sz="4" w:space="0"/>
            </w:tcBorders>
          </w:tcPr>
          <w:p>
            <w:pPr>
              <w:spacing w:line="400" w:lineRule="exact"/>
              <w:rPr>
                <w:rFonts w:ascii="黑体" w:hAnsi="宋体" w:eastAsia="黑体"/>
                <w:color w:val="000000"/>
                <w:sz w:val="24"/>
                <w:szCs w:val="24"/>
              </w:rPr>
            </w:pPr>
          </w:p>
        </w:tc>
        <w:tc>
          <w:tcPr>
            <w:tcW w:w="2240" w:type="dxa"/>
            <w:tcBorders>
              <w:bottom w:val="single" w:color="auto" w:sz="4" w:space="0"/>
            </w:tcBorders>
          </w:tcPr>
          <w:p>
            <w:pPr>
              <w:spacing w:line="400" w:lineRule="exact"/>
              <w:rPr>
                <w:rFonts w:ascii="黑体" w:hAnsi="宋体" w:eastAsia="黑体"/>
                <w:color w:val="000000"/>
                <w:sz w:val="24"/>
                <w:szCs w:val="24"/>
              </w:rPr>
            </w:pPr>
          </w:p>
        </w:tc>
        <w:tc>
          <w:tcPr>
            <w:tcW w:w="2520" w:type="dxa"/>
            <w:tcBorders>
              <w:bottom w:val="single" w:color="auto" w:sz="4" w:space="0"/>
            </w:tcBorders>
          </w:tcPr>
          <w:p>
            <w:pPr>
              <w:spacing w:line="400" w:lineRule="exact"/>
              <w:rPr>
                <w:rFonts w:ascii="黑体" w:hAnsi="宋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5"/>
            <w:tcBorders>
              <w:bottom w:val="single" w:color="auto" w:sz="4" w:space="0"/>
            </w:tcBorders>
            <w:vAlign w:val="center"/>
          </w:tcPr>
          <w:p>
            <w:pPr>
              <w:spacing w:line="400" w:lineRule="exact"/>
              <w:rPr>
                <w:rFonts w:ascii="黑体" w:hAnsi="宋体" w:eastAsia="黑体"/>
                <w:color w:val="000000"/>
                <w:sz w:val="24"/>
                <w:szCs w:val="24"/>
              </w:rPr>
            </w:pPr>
            <w:r>
              <w:rPr>
                <w:rFonts w:hint="eastAsia" w:ascii="黑体" w:hAnsi="宋体" w:eastAsia="黑体"/>
                <w:color w:val="000000"/>
                <w:sz w:val="24"/>
                <w:szCs w:val="24"/>
              </w:rPr>
              <w:t>投标报价（大写）：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vAlign w:val="center"/>
          </w:tcPr>
          <w:p>
            <w:pPr>
              <w:spacing w:line="400" w:lineRule="exact"/>
              <w:rPr>
                <w:rFonts w:ascii="黑体" w:hAnsi="宋体" w:eastAsia="黑体"/>
                <w:color w:val="000000"/>
                <w:sz w:val="24"/>
                <w:szCs w:val="24"/>
              </w:rPr>
            </w:pPr>
            <w:r>
              <w:rPr>
                <w:rFonts w:hint="eastAsia" w:ascii="黑体" w:hAnsi="宋体" w:eastAsia="黑体"/>
                <w:color w:val="000000"/>
                <w:sz w:val="24"/>
                <w:szCs w:val="24"/>
              </w:rPr>
              <w:t>备注：</w:t>
            </w:r>
          </w:p>
        </w:tc>
      </w:tr>
    </w:tbl>
    <w:p>
      <w:pPr>
        <w:spacing w:line="400" w:lineRule="exact"/>
        <w:rPr>
          <w:rFonts w:ascii="黑体" w:hAnsi="宋体" w:eastAsia="黑体"/>
          <w:color w:val="000000"/>
          <w:sz w:val="24"/>
          <w:szCs w:val="24"/>
        </w:rPr>
      </w:pPr>
    </w:p>
    <w:p>
      <w:pPr>
        <w:spacing w:line="400" w:lineRule="exact"/>
        <w:rPr>
          <w:rFonts w:ascii="黑体" w:hAnsi="宋体" w:eastAsia="黑体"/>
          <w:color w:val="000000"/>
          <w:sz w:val="24"/>
          <w:szCs w:val="24"/>
        </w:rPr>
      </w:pPr>
    </w:p>
    <w:p>
      <w:pPr>
        <w:spacing w:line="400" w:lineRule="exact"/>
        <w:rPr>
          <w:rFonts w:ascii="黑体" w:hAnsi="宋体" w:eastAsia="黑体"/>
          <w:color w:val="000000"/>
          <w:sz w:val="24"/>
          <w:szCs w:val="24"/>
        </w:rPr>
      </w:pPr>
    </w:p>
    <w:p>
      <w:pPr>
        <w:spacing w:line="400" w:lineRule="exact"/>
        <w:rPr>
          <w:rFonts w:ascii="黑体" w:hAnsi="宋体" w:eastAsia="黑体"/>
          <w:color w:val="000000"/>
          <w:sz w:val="24"/>
          <w:szCs w:val="24"/>
        </w:rPr>
      </w:pPr>
    </w:p>
    <w:p>
      <w:pPr>
        <w:spacing w:line="400" w:lineRule="exact"/>
        <w:rPr>
          <w:rFonts w:ascii="黑体" w:hAnsi="宋体" w:eastAsia="黑体"/>
          <w:color w:val="000000"/>
          <w:sz w:val="24"/>
          <w:szCs w:val="24"/>
        </w:rPr>
      </w:pPr>
      <w:r>
        <w:rPr>
          <w:rFonts w:hint="eastAsia" w:ascii="黑体" w:hAnsi="宋体" w:eastAsia="黑体"/>
          <w:color w:val="000000"/>
          <w:sz w:val="24"/>
          <w:szCs w:val="24"/>
        </w:rPr>
        <w:t>投标人：                                 法人授权代表：</w:t>
      </w:r>
    </w:p>
    <w:p>
      <w:pPr>
        <w:spacing w:line="400" w:lineRule="exact"/>
        <w:rPr>
          <w:rFonts w:ascii="黑体" w:hAnsi="宋体" w:eastAsia="黑体"/>
          <w:color w:val="000000"/>
          <w:sz w:val="24"/>
          <w:szCs w:val="24"/>
        </w:rPr>
      </w:pPr>
    </w:p>
    <w:p>
      <w:pPr>
        <w:spacing w:line="400" w:lineRule="exact"/>
        <w:rPr>
          <w:rFonts w:ascii="黑体" w:hAnsi="宋体" w:eastAsia="黑体"/>
          <w:color w:val="000000"/>
          <w:sz w:val="24"/>
          <w:szCs w:val="24"/>
        </w:rPr>
      </w:pPr>
      <w:r>
        <w:rPr>
          <w:rFonts w:hint="eastAsia" w:ascii="黑体" w:hAnsi="宋体" w:eastAsia="黑体"/>
          <w:color w:val="000000"/>
          <w:sz w:val="24"/>
          <w:szCs w:val="24"/>
        </w:rPr>
        <w:t xml:space="preserve">  （投标人公章）                               （签字）</w:t>
      </w:r>
    </w:p>
    <w:p>
      <w:pPr>
        <w:spacing w:line="400" w:lineRule="exact"/>
        <w:rPr>
          <w:rFonts w:ascii="黑体" w:hAnsi="宋体" w:eastAsia="黑体"/>
          <w:color w:val="000000"/>
          <w:sz w:val="24"/>
          <w:szCs w:val="24"/>
        </w:rPr>
      </w:pPr>
    </w:p>
    <w:p>
      <w:pPr>
        <w:spacing w:line="400" w:lineRule="exact"/>
        <w:rPr>
          <w:rFonts w:ascii="黑体" w:hAnsi="宋体" w:eastAsia="黑体"/>
          <w:color w:val="000000"/>
          <w:sz w:val="24"/>
          <w:szCs w:val="24"/>
        </w:rPr>
      </w:pPr>
    </w:p>
    <w:p>
      <w:pPr>
        <w:spacing w:line="400" w:lineRule="exact"/>
        <w:rPr>
          <w:rFonts w:ascii="黑体" w:hAnsi="宋体" w:eastAsia="黑体"/>
          <w:color w:val="000000"/>
          <w:sz w:val="24"/>
          <w:szCs w:val="24"/>
        </w:rPr>
      </w:pPr>
      <w:r>
        <w:rPr>
          <w:rFonts w:hint="eastAsia" w:ascii="黑体" w:hAnsi="宋体" w:eastAsia="黑体"/>
          <w:color w:val="000000"/>
          <w:sz w:val="24"/>
          <w:szCs w:val="24"/>
        </w:rPr>
        <w:t xml:space="preserve">                                            年     月     日</w:t>
      </w:r>
    </w:p>
    <w:p>
      <w:pPr>
        <w:spacing w:line="400" w:lineRule="exact"/>
        <w:rPr>
          <w:rFonts w:ascii="黑体" w:hAnsi="宋体" w:eastAsia="黑体"/>
          <w:color w:val="000000"/>
          <w:sz w:val="24"/>
          <w:szCs w:val="24"/>
        </w:rPr>
      </w:pPr>
    </w:p>
    <w:p>
      <w:pPr>
        <w:spacing w:line="400" w:lineRule="exact"/>
        <w:rPr>
          <w:rFonts w:ascii="黑体" w:hAnsi="宋体" w:eastAsia="黑体"/>
          <w:color w:val="000000"/>
          <w:sz w:val="24"/>
          <w:szCs w:val="24"/>
        </w:rPr>
      </w:pPr>
      <w:r>
        <w:rPr>
          <w:rFonts w:hint="eastAsia" w:ascii="黑体" w:hAnsi="宋体" w:eastAsia="黑体"/>
          <w:color w:val="000000"/>
          <w:sz w:val="24"/>
          <w:szCs w:val="24"/>
        </w:rPr>
        <w:t>说明：</w:t>
      </w:r>
    </w:p>
    <w:p>
      <w:pPr>
        <w:spacing w:line="400" w:lineRule="exact"/>
        <w:rPr>
          <w:rFonts w:ascii="黑体" w:hAnsi="宋体" w:eastAsia="黑体"/>
          <w:color w:val="000000"/>
          <w:sz w:val="24"/>
          <w:szCs w:val="24"/>
        </w:rPr>
      </w:pPr>
      <w:r>
        <w:rPr>
          <w:rFonts w:hint="eastAsia" w:ascii="黑体" w:hAnsi="宋体" w:eastAsia="黑体"/>
          <w:color w:val="000000"/>
          <w:sz w:val="24"/>
          <w:szCs w:val="24"/>
        </w:rPr>
        <w:t>1、开标一览表按分包填列，除签字外，均为打印体。每一分包单独一张表开标一览表；</w:t>
      </w:r>
    </w:p>
    <w:p>
      <w:pPr>
        <w:spacing w:line="400" w:lineRule="exact"/>
        <w:rPr>
          <w:rFonts w:ascii="黑体" w:hAnsi="宋体" w:eastAsia="黑体"/>
          <w:color w:val="000000"/>
          <w:sz w:val="24"/>
          <w:szCs w:val="24"/>
        </w:rPr>
      </w:pPr>
      <w:r>
        <w:rPr>
          <w:rFonts w:hint="eastAsia" w:ascii="黑体" w:hAnsi="宋体" w:eastAsia="黑体"/>
          <w:color w:val="000000"/>
          <w:sz w:val="24"/>
          <w:szCs w:val="24"/>
        </w:rPr>
        <w:t>2、开标一览表在开标大会上当众宣读，务必填写清楚，准确无误。</w:t>
      </w:r>
    </w:p>
    <w:p>
      <w:pPr>
        <w:snapToGrid w:val="0"/>
        <w:spacing w:line="360" w:lineRule="auto"/>
        <w:rPr>
          <w:rFonts w:ascii="黑体" w:hAnsi="宋体" w:eastAsia="黑体"/>
          <w:color w:val="000000"/>
          <w:sz w:val="24"/>
          <w:szCs w:val="24"/>
        </w:rPr>
      </w:pPr>
      <w:r>
        <w:rPr>
          <w:rFonts w:hint="eastAsia" w:ascii="黑体" w:hAnsi="宋体" w:eastAsia="黑体"/>
          <w:color w:val="000000"/>
          <w:sz w:val="24"/>
          <w:szCs w:val="24"/>
        </w:rPr>
        <w:t>3、该表可扩展为其他分包。</w:t>
      </w:r>
    </w:p>
    <w:p>
      <w:pPr>
        <w:snapToGrid w:val="0"/>
        <w:spacing w:line="360" w:lineRule="auto"/>
        <w:ind w:firstLine="480" w:firstLineChars="200"/>
        <w:rPr>
          <w:rFonts w:ascii="黑体" w:hAnsi="宋体" w:eastAsia="黑体"/>
          <w:color w:val="000000"/>
          <w:sz w:val="24"/>
          <w:szCs w:val="24"/>
        </w:rPr>
      </w:pPr>
    </w:p>
    <w:p/>
    <w:p/>
    <w:p>
      <w:pPr>
        <w:pStyle w:val="3"/>
        <w:spacing w:before="0" w:after="0" w:line="360" w:lineRule="auto"/>
        <w:ind w:firstLine="472" w:firstLineChars="196"/>
        <w:rPr>
          <w:rFonts w:ascii="黑体" w:hAnsi="宋体" w:eastAsia="黑体"/>
          <w:sz w:val="24"/>
          <w:szCs w:val="24"/>
        </w:rPr>
      </w:pPr>
      <w:r>
        <w:rPr>
          <w:rFonts w:hint="eastAsia" w:ascii="黑体" w:hAnsi="宋体" w:eastAsia="黑体"/>
          <w:sz w:val="24"/>
          <w:szCs w:val="24"/>
        </w:rPr>
        <w:t>二、维保服务部分</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（一）维保服务应答（格式自定）</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（二）维保方案格式要求：</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 xml:space="preserve">     第一部分：维保内容</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 xml:space="preserve">     第二部分：初次检查维修方案</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 xml:space="preserve">     第三部分：维修保养方案</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 xml:space="preserve">      1、定期（月）检查内容</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 xml:space="preserve">      2、季度检查内容</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 xml:space="preserve">      3、年度检查内容（重复季度检查内容、配合电梯安全大检查对故障进行维修、提供年度检查报告）</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 xml:space="preserve">     第四部分：故障处理维修方案</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 xml:space="preserve">     第五部分：安全文明施工措施</w:t>
      </w: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tabs>
          <w:tab w:val="left" w:pos="6300"/>
        </w:tabs>
        <w:snapToGrid w:val="0"/>
        <w:spacing w:line="500" w:lineRule="exact"/>
        <w:ind w:firstLine="570"/>
        <w:rPr>
          <w:rFonts w:ascii="黑体" w:hAnsi="宋体" w:eastAsia="黑体"/>
          <w:szCs w:val="24"/>
        </w:rPr>
      </w:pPr>
      <w:r>
        <w:rPr>
          <w:rFonts w:hint="eastAsia" w:ascii="黑体" w:hAnsi="宋体" w:eastAsia="黑体"/>
          <w:sz w:val="24"/>
          <w:szCs w:val="24"/>
        </w:rPr>
        <w:t>（三）维保服务响应偏离表</w:t>
      </w:r>
    </w:p>
    <w:p>
      <w:pPr>
        <w:pStyle w:val="7"/>
        <w:tabs>
          <w:tab w:val="left" w:pos="6300"/>
        </w:tabs>
        <w:snapToGrid w:val="0"/>
        <w:spacing w:line="500" w:lineRule="exact"/>
        <w:ind w:firstLine="480" w:firstLineChars="200"/>
        <w:outlineLvl w:val="0"/>
        <w:rPr>
          <w:rFonts w:ascii="黑体" w:hAnsi="宋体" w:eastAsia="黑体"/>
          <w:sz w:val="24"/>
        </w:rPr>
      </w:pPr>
      <w:r>
        <w:rPr>
          <w:rFonts w:hint="eastAsia" w:ascii="黑体" w:hAnsi="宋体" w:eastAsia="黑体"/>
          <w:sz w:val="24"/>
        </w:rPr>
        <w:t>采购项目名称：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r>
              <w:rPr>
                <w:rFonts w:hint="eastAsia" w:ascii="黑体" w:hAnsi="宋体" w:eastAsia="黑体"/>
                <w:sz w:val="21"/>
                <w:szCs w:val="21"/>
              </w:rPr>
              <w:t>序号</w:t>
            </w: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r>
              <w:rPr>
                <w:rFonts w:hint="eastAsia" w:ascii="黑体" w:hAnsi="宋体" w:eastAsia="黑体"/>
                <w:sz w:val="21"/>
                <w:szCs w:val="21"/>
              </w:rPr>
              <w:t>采购需求</w:t>
            </w: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r>
              <w:rPr>
                <w:rFonts w:hint="eastAsia" w:ascii="黑体" w:hAnsi="宋体" w:eastAsia="黑体"/>
                <w:sz w:val="21"/>
                <w:szCs w:val="21"/>
              </w:rPr>
              <w:t>响应情况</w:t>
            </w: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r>
              <w:rPr>
                <w:rFonts w:hint="eastAsia" w:ascii="黑体" w:hAnsi="宋体" w:eastAsia="黑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p>
        </w:tc>
      </w:tr>
    </w:tbl>
    <w:p>
      <w:pPr>
        <w:spacing w:line="500" w:lineRule="exact"/>
        <w:ind w:firstLine="600" w:firstLineChars="250"/>
        <w:rPr>
          <w:rFonts w:ascii="黑体" w:hAnsi="宋体" w:eastAsia="黑体"/>
          <w:sz w:val="24"/>
          <w:szCs w:val="28"/>
        </w:rPr>
      </w:pPr>
      <w:r>
        <w:rPr>
          <w:rFonts w:hint="eastAsia" w:ascii="黑体" w:hAnsi="宋体" w:eastAsia="黑体"/>
          <w:sz w:val="24"/>
          <w:szCs w:val="28"/>
        </w:rPr>
        <w:t>供应商：                                      法人授权代表：</w:t>
      </w:r>
    </w:p>
    <w:p>
      <w:pPr>
        <w:spacing w:line="500" w:lineRule="exact"/>
        <w:rPr>
          <w:rFonts w:ascii="黑体" w:hAnsi="宋体" w:eastAsia="黑体"/>
          <w:sz w:val="24"/>
          <w:szCs w:val="28"/>
        </w:rPr>
      </w:pPr>
    </w:p>
    <w:p>
      <w:pPr>
        <w:spacing w:line="500" w:lineRule="exact"/>
        <w:ind w:firstLine="720" w:firstLineChars="300"/>
        <w:rPr>
          <w:rFonts w:ascii="黑体" w:hAnsi="宋体" w:eastAsia="黑体"/>
          <w:sz w:val="24"/>
          <w:szCs w:val="28"/>
        </w:rPr>
      </w:pPr>
      <w:r>
        <w:rPr>
          <w:rFonts w:hint="eastAsia" w:ascii="黑体" w:hAnsi="宋体" w:eastAsia="黑体"/>
          <w:sz w:val="24"/>
          <w:szCs w:val="28"/>
        </w:rPr>
        <w:t>（供应商公章）                               （签字或盖章）</w:t>
      </w:r>
    </w:p>
    <w:p>
      <w:pPr>
        <w:tabs>
          <w:tab w:val="left" w:pos="6300"/>
        </w:tabs>
        <w:snapToGrid w:val="0"/>
        <w:spacing w:line="500" w:lineRule="exact"/>
        <w:ind w:firstLine="570"/>
        <w:rPr>
          <w:rFonts w:ascii="黑体" w:hAnsi="宋体" w:eastAsia="黑体"/>
          <w:sz w:val="24"/>
        </w:rPr>
      </w:pPr>
      <w:r>
        <w:rPr>
          <w:rFonts w:hint="eastAsia" w:ascii="黑体" w:hAnsi="宋体" w:eastAsia="黑体"/>
          <w:sz w:val="24"/>
          <w:szCs w:val="28"/>
        </w:rPr>
        <w:t xml:space="preserve">                                            年     月     日</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rPr>
        <w:t>注：</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szCs w:val="24"/>
        </w:rPr>
        <w:t>1</w:t>
      </w:r>
      <w:r>
        <w:rPr>
          <w:rFonts w:hint="eastAsia" w:ascii="黑体" w:hAnsi="宋体" w:eastAsia="黑体"/>
          <w:sz w:val="24"/>
        </w:rPr>
        <w:t>、本表即为对本项目“</w:t>
      </w:r>
      <w:r>
        <w:rPr>
          <w:rFonts w:hint="eastAsia" w:ascii="黑体" w:hAnsi="宋体" w:eastAsia="黑体"/>
          <w:color w:val="FF0000"/>
          <w:sz w:val="24"/>
        </w:rPr>
        <w:t>第</w:t>
      </w:r>
      <w:r>
        <w:rPr>
          <w:rFonts w:hint="eastAsia" w:ascii="黑体" w:hAnsi="宋体" w:eastAsia="黑体"/>
          <w:color w:val="FF0000"/>
          <w:sz w:val="24"/>
          <w:lang w:eastAsia="zh-CN"/>
        </w:rPr>
        <w:t>二</w:t>
      </w:r>
      <w:r>
        <w:rPr>
          <w:rFonts w:hint="eastAsia" w:ascii="黑体" w:hAnsi="宋体" w:eastAsia="黑体"/>
          <w:color w:val="FF0000"/>
          <w:sz w:val="24"/>
        </w:rPr>
        <w:t>篇  磋商项目服务需求</w:t>
      </w:r>
      <w:r>
        <w:rPr>
          <w:rFonts w:hint="eastAsia" w:ascii="黑体" w:hAnsi="宋体" w:eastAsia="黑体"/>
          <w:sz w:val="24"/>
        </w:rPr>
        <w:t>”中所列服务要求进行比较和响应；</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rPr>
        <w:t>3、该表可扩展</w:t>
      </w:r>
      <w:r>
        <w:rPr>
          <w:rFonts w:hint="eastAsia" w:ascii="黑体" w:hAnsi="宋体" w:eastAsia="黑体"/>
          <w:sz w:val="24"/>
          <w:szCs w:val="28"/>
        </w:rPr>
        <w:t>，并逐页签字或盖章</w:t>
      </w:r>
      <w:r>
        <w:rPr>
          <w:rFonts w:hint="eastAsia" w:ascii="黑体" w:hAnsi="宋体" w:eastAsia="黑体"/>
          <w:sz w:val="24"/>
        </w:rPr>
        <w:t>；</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rPr>
        <w:t>4、可附相关技术支撑材料。（格式自定）</w:t>
      </w:r>
    </w:p>
    <w:p>
      <w:pPr>
        <w:tabs>
          <w:tab w:val="left" w:pos="6300"/>
        </w:tabs>
        <w:snapToGrid w:val="0"/>
        <w:spacing w:line="500" w:lineRule="exact"/>
        <w:ind w:firstLine="480" w:firstLineChars="200"/>
        <w:rPr>
          <w:rFonts w:ascii="黑体" w:hAnsi="宋体" w:eastAsia="黑体"/>
          <w:sz w:val="24"/>
          <w:szCs w:val="24"/>
        </w:rPr>
      </w:pPr>
      <w:r>
        <w:rPr>
          <w:rFonts w:hint="eastAsia" w:ascii="黑体" w:hAnsi="宋体" w:eastAsia="黑体"/>
          <w:sz w:val="24"/>
        </w:rPr>
        <w:t>5、若“响应情况”栏中仅填写“无偏离”或“有偏离”等内容而未作实质性参数描述，该供应商将</w:t>
      </w:r>
      <w:r>
        <w:rPr>
          <w:rFonts w:hint="eastAsia" w:ascii="黑体" w:hAnsi="宋体" w:eastAsia="黑体"/>
          <w:sz w:val="24"/>
          <w:szCs w:val="24"/>
        </w:rPr>
        <w:t>失去成为成交供应商的资格，仅保留其合格供应商的身份。</w:t>
      </w:r>
    </w:p>
    <w:p>
      <w:pPr>
        <w:rPr>
          <w:rFonts w:ascii="黑体" w:hAnsi="宋体" w:eastAsia="黑体"/>
          <w:szCs w:val="24"/>
        </w:rPr>
      </w:pPr>
    </w:p>
    <w:p>
      <w:pPr>
        <w:pStyle w:val="3"/>
        <w:spacing w:before="0" w:after="0" w:line="360" w:lineRule="auto"/>
        <w:rPr>
          <w:rFonts w:ascii="黑体" w:hAnsi="宋体" w:eastAsia="黑体"/>
          <w:sz w:val="24"/>
          <w:szCs w:val="24"/>
        </w:rPr>
      </w:pPr>
      <w:bookmarkStart w:id="59" w:name="_Toc415471847"/>
      <w:r>
        <w:rPr>
          <w:rFonts w:hint="eastAsia" w:ascii="黑体" w:hAnsi="宋体" w:eastAsia="黑体"/>
          <w:sz w:val="24"/>
          <w:szCs w:val="24"/>
        </w:rPr>
        <w:t>三、商务部分</w:t>
      </w:r>
      <w:bookmarkEnd w:id="59"/>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（一）商务要求响应情况：维保服务期、维保服务地点、商务条款等（格式自定）</w:t>
      </w:r>
    </w:p>
    <w:p>
      <w:pPr>
        <w:snapToGrid w:val="0"/>
        <w:spacing w:line="360" w:lineRule="auto"/>
        <w:ind w:firstLine="480" w:firstLineChars="200"/>
        <w:rPr>
          <w:rFonts w:ascii="黑体" w:hAnsi="宋体" w:eastAsia="黑体"/>
          <w:b/>
          <w:bCs/>
          <w:color w:val="000000"/>
          <w:sz w:val="24"/>
          <w:szCs w:val="24"/>
        </w:rPr>
      </w:pPr>
      <w:r>
        <w:rPr>
          <w:rFonts w:hint="eastAsia" w:ascii="黑体" w:hAnsi="宋体" w:eastAsia="黑体"/>
          <w:sz w:val="24"/>
          <w:szCs w:val="24"/>
        </w:rPr>
        <w:t>（二）</w:t>
      </w:r>
      <w:r>
        <w:rPr>
          <w:rFonts w:hint="eastAsia" w:ascii="黑体" w:hAnsi="宋体" w:eastAsia="黑体"/>
          <w:b/>
          <w:bCs/>
          <w:color w:val="000000"/>
          <w:sz w:val="24"/>
          <w:szCs w:val="24"/>
        </w:rPr>
        <w:t>服务承诺内容要求：（必须有以下三个方面）</w:t>
      </w:r>
    </w:p>
    <w:p>
      <w:pPr>
        <w:snapToGrid w:val="0"/>
        <w:spacing w:line="360" w:lineRule="auto"/>
        <w:rPr>
          <w:rFonts w:ascii="黑体" w:hAnsi="宋体" w:eastAsia="黑体"/>
          <w:b/>
          <w:bCs/>
          <w:color w:val="000000"/>
          <w:sz w:val="24"/>
          <w:szCs w:val="24"/>
        </w:rPr>
      </w:pPr>
      <w:r>
        <w:rPr>
          <w:rFonts w:hint="eastAsia" w:ascii="黑体" w:hAnsi="宋体" w:eastAsia="黑体"/>
          <w:b/>
          <w:bCs/>
          <w:color w:val="000000"/>
          <w:sz w:val="24"/>
          <w:szCs w:val="24"/>
        </w:rPr>
        <w:t xml:space="preserve">      1、有安全服务承诺</w:t>
      </w:r>
    </w:p>
    <w:p>
      <w:pPr>
        <w:snapToGrid w:val="0"/>
        <w:spacing w:line="360" w:lineRule="auto"/>
        <w:rPr>
          <w:rFonts w:ascii="黑体" w:hAnsi="宋体" w:eastAsia="黑体"/>
          <w:b/>
          <w:bCs/>
          <w:color w:val="000000"/>
          <w:sz w:val="24"/>
          <w:szCs w:val="24"/>
        </w:rPr>
      </w:pPr>
      <w:r>
        <w:rPr>
          <w:rFonts w:hint="eastAsia" w:ascii="黑体" w:hAnsi="宋体" w:eastAsia="黑体"/>
          <w:b/>
          <w:bCs/>
          <w:color w:val="000000"/>
          <w:sz w:val="24"/>
          <w:szCs w:val="24"/>
        </w:rPr>
        <w:t xml:space="preserve">      2、有及时服务承诺</w:t>
      </w:r>
    </w:p>
    <w:p>
      <w:pPr>
        <w:rPr>
          <w:rFonts w:ascii="黑体" w:hAnsi="宋体" w:eastAsia="黑体"/>
          <w:szCs w:val="24"/>
        </w:rPr>
      </w:pPr>
      <w:r>
        <w:rPr>
          <w:rFonts w:hint="eastAsia" w:ascii="黑体" w:hAnsi="宋体" w:eastAsia="黑体"/>
          <w:b/>
          <w:bCs/>
          <w:color w:val="000000"/>
          <w:sz w:val="24"/>
          <w:szCs w:val="24"/>
        </w:rPr>
        <w:t xml:space="preserve">      3、有规范服务承诺</w:t>
      </w:r>
    </w:p>
    <w:p>
      <w:pPr>
        <w:spacing w:line="360" w:lineRule="auto"/>
        <w:ind w:firstLine="560" w:firstLineChars="200"/>
        <w:rPr>
          <w:rFonts w:ascii="黑体" w:hAnsi="宋体" w:eastAsia="黑体"/>
          <w:sz w:val="24"/>
          <w:szCs w:val="24"/>
        </w:rPr>
      </w:pPr>
      <w:r>
        <w:rPr>
          <w:rFonts w:hint="eastAsia" w:ascii="黑体" w:hAnsi="宋体" w:eastAsia="黑体"/>
          <w:szCs w:val="24"/>
        </w:rPr>
        <w:br w:type="page"/>
      </w:r>
      <w:r>
        <w:rPr>
          <w:rFonts w:hint="eastAsia" w:ascii="黑体" w:hAnsi="宋体" w:eastAsia="黑体"/>
          <w:sz w:val="24"/>
          <w:szCs w:val="24"/>
        </w:rPr>
        <w:t>三）商务响应偏离表</w:t>
      </w:r>
    </w:p>
    <w:p>
      <w:pPr>
        <w:snapToGrid w:val="0"/>
        <w:spacing w:line="360" w:lineRule="auto"/>
        <w:jc w:val="center"/>
        <w:rPr>
          <w:rFonts w:ascii="黑体" w:hAnsi="宋体" w:eastAsia="黑体"/>
          <w:b/>
          <w:szCs w:val="28"/>
        </w:rPr>
      </w:pPr>
      <w:r>
        <w:rPr>
          <w:rFonts w:hint="eastAsia" w:ascii="黑体" w:hAnsi="宋体" w:eastAsia="黑体"/>
          <w:b/>
          <w:szCs w:val="28"/>
        </w:rPr>
        <w:t>商务响应偏离表（本表可自行设计格式）</w:t>
      </w:r>
    </w:p>
    <w:p>
      <w:pPr>
        <w:snapToGrid w:val="0"/>
        <w:spacing w:line="360" w:lineRule="auto"/>
        <w:ind w:firstLine="465"/>
        <w:rPr>
          <w:rFonts w:ascii="黑体" w:hAnsi="宋体" w:eastAsia="黑体"/>
          <w:sz w:val="24"/>
          <w:szCs w:val="24"/>
        </w:rPr>
      </w:pPr>
      <w:r>
        <w:rPr>
          <w:rFonts w:hint="eastAsia" w:ascii="黑体" w:hAnsi="宋体" w:eastAsia="黑体"/>
          <w:sz w:val="24"/>
          <w:szCs w:val="24"/>
        </w:rPr>
        <w:t>对于竞争性</w:t>
      </w:r>
      <w:r>
        <w:rPr>
          <w:rFonts w:hint="eastAsia" w:ascii="黑体" w:hAnsi="宋体" w:eastAsia="黑体"/>
          <w:color w:val="000000"/>
          <w:sz w:val="24"/>
          <w:szCs w:val="24"/>
        </w:rPr>
        <w:t>磋商</w:t>
      </w:r>
      <w:r>
        <w:rPr>
          <w:rFonts w:hint="eastAsia" w:ascii="黑体" w:hAnsi="宋体" w:eastAsia="黑体"/>
          <w:sz w:val="24"/>
          <w:szCs w:val="24"/>
        </w:rPr>
        <w:t>文件的商务要求，如有任何偏离请如实填写下表：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pPr>
              <w:tabs>
                <w:tab w:val="left" w:pos="6300"/>
              </w:tabs>
              <w:snapToGrid w:val="0"/>
              <w:spacing w:line="360" w:lineRule="auto"/>
              <w:jc w:val="center"/>
              <w:outlineLvl w:val="0"/>
              <w:rPr>
                <w:rFonts w:ascii="黑体" w:hAnsi="宋体" w:eastAsia="黑体"/>
                <w:sz w:val="21"/>
                <w:szCs w:val="24"/>
              </w:rPr>
            </w:pPr>
            <w:r>
              <w:rPr>
                <w:rFonts w:hint="eastAsia" w:ascii="黑体" w:hAnsi="宋体" w:eastAsia="黑体"/>
                <w:sz w:val="21"/>
                <w:szCs w:val="24"/>
              </w:rPr>
              <w:t>序号</w:t>
            </w:r>
          </w:p>
        </w:tc>
        <w:tc>
          <w:tcPr>
            <w:tcW w:w="3179" w:type="dxa"/>
            <w:vAlign w:val="center"/>
          </w:tcPr>
          <w:p>
            <w:pPr>
              <w:tabs>
                <w:tab w:val="left" w:pos="6300"/>
              </w:tabs>
              <w:snapToGrid w:val="0"/>
              <w:spacing w:line="360" w:lineRule="auto"/>
              <w:jc w:val="center"/>
              <w:outlineLvl w:val="0"/>
              <w:rPr>
                <w:rFonts w:ascii="黑体" w:hAnsi="宋体" w:eastAsia="黑体"/>
                <w:sz w:val="21"/>
                <w:szCs w:val="24"/>
              </w:rPr>
            </w:pPr>
            <w:r>
              <w:rPr>
                <w:rFonts w:hint="eastAsia" w:ascii="黑体" w:hAnsi="宋体" w:eastAsia="黑体"/>
                <w:sz w:val="21"/>
                <w:szCs w:val="24"/>
              </w:rPr>
              <w:t>磋商项目需求</w:t>
            </w:r>
          </w:p>
        </w:tc>
        <w:tc>
          <w:tcPr>
            <w:tcW w:w="2434" w:type="dxa"/>
            <w:vAlign w:val="center"/>
          </w:tcPr>
          <w:p>
            <w:pPr>
              <w:tabs>
                <w:tab w:val="left" w:pos="6300"/>
              </w:tabs>
              <w:snapToGrid w:val="0"/>
              <w:spacing w:line="360" w:lineRule="auto"/>
              <w:jc w:val="center"/>
              <w:outlineLvl w:val="0"/>
              <w:rPr>
                <w:rFonts w:ascii="黑体" w:hAnsi="宋体" w:eastAsia="黑体"/>
                <w:sz w:val="21"/>
                <w:szCs w:val="24"/>
              </w:rPr>
            </w:pPr>
            <w:r>
              <w:rPr>
                <w:rFonts w:hint="eastAsia" w:ascii="黑体" w:hAnsi="宋体" w:eastAsia="黑体"/>
                <w:sz w:val="21"/>
                <w:szCs w:val="24"/>
              </w:rPr>
              <w:t>响应情况</w:t>
            </w:r>
          </w:p>
        </w:tc>
        <w:tc>
          <w:tcPr>
            <w:tcW w:w="2355" w:type="dxa"/>
            <w:vAlign w:val="center"/>
          </w:tcPr>
          <w:p>
            <w:pPr>
              <w:tabs>
                <w:tab w:val="left" w:pos="6300"/>
              </w:tabs>
              <w:snapToGrid w:val="0"/>
              <w:spacing w:line="360" w:lineRule="auto"/>
              <w:jc w:val="center"/>
              <w:outlineLvl w:val="0"/>
              <w:rPr>
                <w:rFonts w:ascii="黑体" w:hAnsi="宋体" w:eastAsia="黑体"/>
                <w:sz w:val="21"/>
                <w:szCs w:val="24"/>
              </w:rPr>
            </w:pPr>
            <w:r>
              <w:rPr>
                <w:rFonts w:hint="eastAsia" w:ascii="黑体" w:hAnsi="宋体" w:eastAsia="黑体"/>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黑体" w:hAnsi="宋体" w:eastAsia="黑体"/>
                <w:sz w:val="21"/>
                <w:szCs w:val="24"/>
              </w:rPr>
            </w:pPr>
          </w:p>
        </w:tc>
        <w:tc>
          <w:tcPr>
            <w:tcW w:w="3179" w:type="dxa"/>
            <w:vAlign w:val="center"/>
          </w:tcPr>
          <w:p>
            <w:pPr>
              <w:tabs>
                <w:tab w:val="left" w:pos="6300"/>
              </w:tabs>
              <w:snapToGrid w:val="0"/>
              <w:spacing w:line="360" w:lineRule="auto"/>
              <w:jc w:val="center"/>
              <w:outlineLvl w:val="0"/>
              <w:rPr>
                <w:rFonts w:ascii="黑体" w:hAnsi="宋体" w:eastAsia="黑体"/>
                <w:sz w:val="21"/>
                <w:szCs w:val="24"/>
              </w:rPr>
            </w:pPr>
          </w:p>
        </w:tc>
        <w:tc>
          <w:tcPr>
            <w:tcW w:w="2434" w:type="dxa"/>
            <w:vAlign w:val="center"/>
          </w:tcPr>
          <w:p>
            <w:pPr>
              <w:tabs>
                <w:tab w:val="left" w:pos="6300"/>
              </w:tabs>
              <w:snapToGrid w:val="0"/>
              <w:spacing w:line="360" w:lineRule="auto"/>
              <w:jc w:val="center"/>
              <w:outlineLvl w:val="0"/>
              <w:rPr>
                <w:rFonts w:ascii="黑体" w:hAnsi="宋体" w:eastAsia="黑体"/>
                <w:sz w:val="21"/>
                <w:szCs w:val="24"/>
              </w:rPr>
            </w:pPr>
          </w:p>
        </w:tc>
        <w:tc>
          <w:tcPr>
            <w:tcW w:w="2355" w:type="dxa"/>
            <w:vAlign w:val="center"/>
          </w:tcPr>
          <w:p>
            <w:pPr>
              <w:tabs>
                <w:tab w:val="left" w:pos="6300"/>
              </w:tabs>
              <w:snapToGrid w:val="0"/>
              <w:spacing w:line="360" w:lineRule="auto"/>
              <w:jc w:val="center"/>
              <w:outlineLvl w:val="0"/>
              <w:rPr>
                <w:rFonts w:ascii="黑体" w:hAnsi="宋体" w:eastAsia="黑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黑体" w:hAnsi="宋体" w:eastAsia="黑体"/>
                <w:sz w:val="21"/>
                <w:szCs w:val="24"/>
              </w:rPr>
            </w:pPr>
          </w:p>
        </w:tc>
        <w:tc>
          <w:tcPr>
            <w:tcW w:w="3179" w:type="dxa"/>
            <w:vAlign w:val="center"/>
          </w:tcPr>
          <w:p>
            <w:pPr>
              <w:tabs>
                <w:tab w:val="left" w:pos="6300"/>
              </w:tabs>
              <w:snapToGrid w:val="0"/>
              <w:spacing w:line="360" w:lineRule="auto"/>
              <w:jc w:val="center"/>
              <w:outlineLvl w:val="0"/>
              <w:rPr>
                <w:rFonts w:ascii="黑体" w:hAnsi="宋体" w:eastAsia="黑体"/>
                <w:sz w:val="21"/>
                <w:szCs w:val="24"/>
              </w:rPr>
            </w:pPr>
          </w:p>
        </w:tc>
        <w:tc>
          <w:tcPr>
            <w:tcW w:w="2434" w:type="dxa"/>
            <w:vAlign w:val="center"/>
          </w:tcPr>
          <w:p>
            <w:pPr>
              <w:tabs>
                <w:tab w:val="left" w:pos="6300"/>
              </w:tabs>
              <w:snapToGrid w:val="0"/>
              <w:spacing w:line="360" w:lineRule="auto"/>
              <w:jc w:val="center"/>
              <w:outlineLvl w:val="0"/>
              <w:rPr>
                <w:rFonts w:ascii="黑体" w:hAnsi="宋体" w:eastAsia="黑体"/>
                <w:sz w:val="21"/>
                <w:szCs w:val="24"/>
              </w:rPr>
            </w:pPr>
          </w:p>
        </w:tc>
        <w:tc>
          <w:tcPr>
            <w:tcW w:w="2355" w:type="dxa"/>
            <w:vAlign w:val="center"/>
          </w:tcPr>
          <w:p>
            <w:pPr>
              <w:tabs>
                <w:tab w:val="left" w:pos="6300"/>
              </w:tabs>
              <w:snapToGrid w:val="0"/>
              <w:spacing w:line="360" w:lineRule="auto"/>
              <w:jc w:val="center"/>
              <w:outlineLvl w:val="0"/>
              <w:rPr>
                <w:rFonts w:ascii="黑体" w:hAnsi="宋体" w:eastAsia="黑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黑体" w:hAnsi="宋体" w:eastAsia="黑体"/>
                <w:sz w:val="21"/>
                <w:szCs w:val="24"/>
              </w:rPr>
            </w:pPr>
          </w:p>
        </w:tc>
        <w:tc>
          <w:tcPr>
            <w:tcW w:w="3179" w:type="dxa"/>
            <w:vAlign w:val="center"/>
          </w:tcPr>
          <w:p>
            <w:pPr>
              <w:tabs>
                <w:tab w:val="left" w:pos="6300"/>
              </w:tabs>
              <w:snapToGrid w:val="0"/>
              <w:spacing w:line="360" w:lineRule="auto"/>
              <w:jc w:val="center"/>
              <w:outlineLvl w:val="0"/>
              <w:rPr>
                <w:rFonts w:ascii="黑体" w:hAnsi="宋体" w:eastAsia="黑体"/>
                <w:sz w:val="21"/>
                <w:szCs w:val="24"/>
              </w:rPr>
            </w:pPr>
          </w:p>
        </w:tc>
        <w:tc>
          <w:tcPr>
            <w:tcW w:w="2434" w:type="dxa"/>
            <w:vAlign w:val="center"/>
          </w:tcPr>
          <w:p>
            <w:pPr>
              <w:tabs>
                <w:tab w:val="left" w:pos="6300"/>
              </w:tabs>
              <w:snapToGrid w:val="0"/>
              <w:spacing w:line="360" w:lineRule="auto"/>
              <w:jc w:val="center"/>
              <w:outlineLvl w:val="0"/>
              <w:rPr>
                <w:rFonts w:ascii="黑体" w:hAnsi="宋体" w:eastAsia="黑体"/>
                <w:sz w:val="21"/>
                <w:szCs w:val="24"/>
              </w:rPr>
            </w:pPr>
          </w:p>
        </w:tc>
        <w:tc>
          <w:tcPr>
            <w:tcW w:w="2355" w:type="dxa"/>
            <w:vAlign w:val="center"/>
          </w:tcPr>
          <w:p>
            <w:pPr>
              <w:tabs>
                <w:tab w:val="left" w:pos="6300"/>
              </w:tabs>
              <w:snapToGrid w:val="0"/>
              <w:spacing w:line="360" w:lineRule="auto"/>
              <w:jc w:val="center"/>
              <w:outlineLvl w:val="0"/>
              <w:rPr>
                <w:rFonts w:ascii="黑体" w:hAnsi="宋体" w:eastAsia="黑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黑体" w:hAnsi="宋体" w:eastAsia="黑体"/>
                <w:sz w:val="21"/>
                <w:szCs w:val="24"/>
              </w:rPr>
            </w:pPr>
          </w:p>
        </w:tc>
        <w:tc>
          <w:tcPr>
            <w:tcW w:w="3179" w:type="dxa"/>
            <w:vAlign w:val="center"/>
          </w:tcPr>
          <w:p>
            <w:pPr>
              <w:tabs>
                <w:tab w:val="left" w:pos="6300"/>
              </w:tabs>
              <w:snapToGrid w:val="0"/>
              <w:spacing w:line="360" w:lineRule="auto"/>
              <w:jc w:val="center"/>
              <w:outlineLvl w:val="0"/>
              <w:rPr>
                <w:rFonts w:ascii="黑体" w:hAnsi="宋体" w:eastAsia="黑体"/>
                <w:sz w:val="21"/>
                <w:szCs w:val="24"/>
              </w:rPr>
            </w:pPr>
          </w:p>
        </w:tc>
        <w:tc>
          <w:tcPr>
            <w:tcW w:w="2434" w:type="dxa"/>
            <w:vAlign w:val="center"/>
          </w:tcPr>
          <w:p>
            <w:pPr>
              <w:tabs>
                <w:tab w:val="left" w:pos="6300"/>
              </w:tabs>
              <w:snapToGrid w:val="0"/>
              <w:spacing w:line="360" w:lineRule="auto"/>
              <w:jc w:val="center"/>
              <w:outlineLvl w:val="0"/>
              <w:rPr>
                <w:rFonts w:ascii="黑体" w:hAnsi="宋体" w:eastAsia="黑体"/>
                <w:sz w:val="21"/>
                <w:szCs w:val="24"/>
              </w:rPr>
            </w:pPr>
          </w:p>
        </w:tc>
        <w:tc>
          <w:tcPr>
            <w:tcW w:w="2355" w:type="dxa"/>
            <w:vAlign w:val="center"/>
          </w:tcPr>
          <w:p>
            <w:pPr>
              <w:tabs>
                <w:tab w:val="left" w:pos="6300"/>
              </w:tabs>
              <w:snapToGrid w:val="0"/>
              <w:spacing w:line="360" w:lineRule="auto"/>
              <w:jc w:val="center"/>
              <w:outlineLvl w:val="0"/>
              <w:rPr>
                <w:rFonts w:ascii="黑体" w:hAnsi="宋体" w:eastAsia="黑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黑体" w:hAnsi="宋体" w:eastAsia="黑体"/>
                <w:sz w:val="21"/>
                <w:szCs w:val="24"/>
              </w:rPr>
            </w:pPr>
          </w:p>
        </w:tc>
        <w:tc>
          <w:tcPr>
            <w:tcW w:w="3179" w:type="dxa"/>
            <w:vAlign w:val="center"/>
          </w:tcPr>
          <w:p>
            <w:pPr>
              <w:tabs>
                <w:tab w:val="left" w:pos="6300"/>
              </w:tabs>
              <w:snapToGrid w:val="0"/>
              <w:spacing w:line="360" w:lineRule="auto"/>
              <w:jc w:val="center"/>
              <w:outlineLvl w:val="0"/>
              <w:rPr>
                <w:rFonts w:ascii="黑体" w:hAnsi="宋体" w:eastAsia="黑体"/>
                <w:sz w:val="21"/>
                <w:szCs w:val="24"/>
              </w:rPr>
            </w:pPr>
          </w:p>
        </w:tc>
        <w:tc>
          <w:tcPr>
            <w:tcW w:w="2434" w:type="dxa"/>
            <w:vAlign w:val="center"/>
          </w:tcPr>
          <w:p>
            <w:pPr>
              <w:tabs>
                <w:tab w:val="left" w:pos="6300"/>
              </w:tabs>
              <w:snapToGrid w:val="0"/>
              <w:spacing w:line="360" w:lineRule="auto"/>
              <w:jc w:val="center"/>
              <w:outlineLvl w:val="0"/>
              <w:rPr>
                <w:rFonts w:ascii="黑体" w:hAnsi="宋体" w:eastAsia="黑体"/>
                <w:sz w:val="21"/>
                <w:szCs w:val="24"/>
              </w:rPr>
            </w:pPr>
          </w:p>
        </w:tc>
        <w:tc>
          <w:tcPr>
            <w:tcW w:w="2355" w:type="dxa"/>
            <w:vAlign w:val="center"/>
          </w:tcPr>
          <w:p>
            <w:pPr>
              <w:tabs>
                <w:tab w:val="left" w:pos="6300"/>
              </w:tabs>
              <w:snapToGrid w:val="0"/>
              <w:spacing w:line="360" w:lineRule="auto"/>
              <w:jc w:val="center"/>
              <w:outlineLvl w:val="0"/>
              <w:rPr>
                <w:rFonts w:ascii="黑体" w:hAnsi="宋体" w:eastAsia="黑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黑体" w:hAnsi="宋体" w:eastAsia="黑体"/>
                <w:sz w:val="21"/>
                <w:szCs w:val="24"/>
              </w:rPr>
            </w:pPr>
          </w:p>
        </w:tc>
        <w:tc>
          <w:tcPr>
            <w:tcW w:w="3179" w:type="dxa"/>
            <w:vAlign w:val="center"/>
          </w:tcPr>
          <w:p>
            <w:pPr>
              <w:tabs>
                <w:tab w:val="left" w:pos="6300"/>
              </w:tabs>
              <w:snapToGrid w:val="0"/>
              <w:spacing w:line="360" w:lineRule="auto"/>
              <w:jc w:val="center"/>
              <w:outlineLvl w:val="0"/>
              <w:rPr>
                <w:rFonts w:ascii="黑体" w:hAnsi="宋体" w:eastAsia="黑体"/>
                <w:sz w:val="21"/>
                <w:szCs w:val="24"/>
              </w:rPr>
            </w:pPr>
          </w:p>
        </w:tc>
        <w:tc>
          <w:tcPr>
            <w:tcW w:w="2434" w:type="dxa"/>
            <w:vAlign w:val="center"/>
          </w:tcPr>
          <w:p>
            <w:pPr>
              <w:tabs>
                <w:tab w:val="left" w:pos="6300"/>
              </w:tabs>
              <w:snapToGrid w:val="0"/>
              <w:spacing w:line="360" w:lineRule="auto"/>
              <w:jc w:val="center"/>
              <w:outlineLvl w:val="0"/>
              <w:rPr>
                <w:rFonts w:ascii="黑体" w:hAnsi="宋体" w:eastAsia="黑体"/>
                <w:sz w:val="21"/>
                <w:szCs w:val="24"/>
              </w:rPr>
            </w:pPr>
          </w:p>
        </w:tc>
        <w:tc>
          <w:tcPr>
            <w:tcW w:w="2355" w:type="dxa"/>
            <w:vAlign w:val="center"/>
          </w:tcPr>
          <w:p>
            <w:pPr>
              <w:tabs>
                <w:tab w:val="left" w:pos="6300"/>
              </w:tabs>
              <w:snapToGrid w:val="0"/>
              <w:spacing w:line="360" w:lineRule="auto"/>
              <w:jc w:val="center"/>
              <w:outlineLvl w:val="0"/>
              <w:rPr>
                <w:rFonts w:ascii="黑体" w:hAnsi="宋体" w:eastAsia="黑体"/>
                <w:sz w:val="21"/>
                <w:szCs w:val="24"/>
              </w:rPr>
            </w:pPr>
          </w:p>
        </w:tc>
      </w:tr>
    </w:tbl>
    <w:p>
      <w:pPr>
        <w:snapToGrid w:val="0"/>
        <w:spacing w:line="360" w:lineRule="auto"/>
        <w:ind w:firstLine="465"/>
        <w:rPr>
          <w:rFonts w:ascii="黑体" w:hAnsi="宋体" w:eastAsia="黑体"/>
          <w:sz w:val="24"/>
          <w:szCs w:val="24"/>
        </w:rPr>
      </w:pPr>
    </w:p>
    <w:p>
      <w:pPr>
        <w:spacing w:line="500" w:lineRule="exact"/>
        <w:ind w:firstLine="600" w:firstLineChars="250"/>
        <w:rPr>
          <w:rFonts w:ascii="黑体" w:hAnsi="宋体" w:eastAsia="黑体"/>
          <w:sz w:val="24"/>
          <w:szCs w:val="28"/>
        </w:rPr>
      </w:pPr>
      <w:r>
        <w:rPr>
          <w:rFonts w:hint="eastAsia" w:ascii="黑体" w:hAnsi="宋体" w:eastAsia="黑体"/>
          <w:sz w:val="24"/>
          <w:szCs w:val="28"/>
        </w:rPr>
        <w:t>供应商：                                      法人授权代表：</w:t>
      </w:r>
    </w:p>
    <w:p>
      <w:pPr>
        <w:spacing w:line="500" w:lineRule="exact"/>
        <w:rPr>
          <w:rFonts w:ascii="黑体" w:hAnsi="宋体" w:eastAsia="黑体"/>
          <w:sz w:val="24"/>
          <w:szCs w:val="28"/>
        </w:rPr>
      </w:pPr>
    </w:p>
    <w:p>
      <w:pPr>
        <w:spacing w:line="500" w:lineRule="exact"/>
        <w:ind w:firstLine="360" w:firstLineChars="150"/>
        <w:rPr>
          <w:rFonts w:ascii="黑体" w:hAnsi="宋体" w:eastAsia="黑体"/>
          <w:sz w:val="24"/>
          <w:szCs w:val="28"/>
        </w:rPr>
      </w:pPr>
      <w:r>
        <w:rPr>
          <w:rFonts w:hint="eastAsia" w:ascii="黑体" w:hAnsi="宋体" w:eastAsia="黑体"/>
          <w:sz w:val="24"/>
          <w:szCs w:val="28"/>
        </w:rPr>
        <w:t>（供应商公章）                                 （签字或盖章）</w:t>
      </w:r>
    </w:p>
    <w:p>
      <w:pPr>
        <w:tabs>
          <w:tab w:val="left" w:pos="6300"/>
        </w:tabs>
        <w:snapToGrid w:val="0"/>
        <w:spacing w:line="500" w:lineRule="exact"/>
        <w:ind w:firstLine="570"/>
        <w:rPr>
          <w:rFonts w:ascii="黑体" w:hAnsi="宋体" w:eastAsia="黑体"/>
          <w:sz w:val="24"/>
        </w:rPr>
      </w:pPr>
      <w:r>
        <w:rPr>
          <w:rFonts w:hint="eastAsia" w:ascii="黑体" w:hAnsi="宋体" w:eastAsia="黑体"/>
          <w:sz w:val="24"/>
          <w:szCs w:val="28"/>
        </w:rPr>
        <w:t xml:space="preserve">                                            年     月     日</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rPr>
        <w:t>注：</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szCs w:val="24"/>
        </w:rPr>
        <w:t>1</w:t>
      </w:r>
      <w:r>
        <w:rPr>
          <w:rFonts w:hint="eastAsia" w:ascii="黑体" w:hAnsi="宋体" w:eastAsia="黑体"/>
          <w:sz w:val="24"/>
        </w:rPr>
        <w:t>、本表即为对本项目“</w:t>
      </w:r>
      <w:r>
        <w:rPr>
          <w:rFonts w:hint="eastAsia" w:ascii="黑体" w:hAnsi="宋体" w:eastAsia="黑体"/>
          <w:color w:val="FF0000"/>
          <w:sz w:val="24"/>
          <w:szCs w:val="22"/>
        </w:rPr>
        <w:t>第三篇  项目商务要求</w:t>
      </w:r>
      <w:r>
        <w:rPr>
          <w:rFonts w:hint="eastAsia" w:ascii="黑体" w:hAnsi="宋体" w:eastAsia="黑体"/>
          <w:sz w:val="24"/>
        </w:rPr>
        <w:t>”中所列服务要求进行比较和响应；</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rPr>
        <w:t>3、该表可扩展</w:t>
      </w:r>
      <w:r>
        <w:rPr>
          <w:rFonts w:hint="eastAsia" w:ascii="黑体" w:hAnsi="宋体" w:eastAsia="黑体"/>
          <w:sz w:val="24"/>
          <w:szCs w:val="28"/>
        </w:rPr>
        <w:t>，并逐页签字或盖章</w:t>
      </w:r>
      <w:r>
        <w:rPr>
          <w:rFonts w:hint="eastAsia" w:ascii="黑体" w:hAnsi="宋体" w:eastAsia="黑体"/>
          <w:sz w:val="24"/>
        </w:rPr>
        <w:t>；</w:t>
      </w:r>
    </w:p>
    <w:p>
      <w:pPr>
        <w:spacing w:line="360" w:lineRule="auto"/>
        <w:ind w:firstLine="560" w:firstLineChars="200"/>
        <w:jc w:val="center"/>
        <w:rPr>
          <w:rFonts w:ascii="黑体" w:hAnsi="宋体" w:eastAsia="黑体"/>
          <w:sz w:val="24"/>
          <w:szCs w:val="24"/>
        </w:rPr>
      </w:pPr>
      <w:r>
        <w:rPr>
          <w:rFonts w:hint="eastAsia" w:ascii="黑体" w:eastAsia="黑体"/>
        </w:rPr>
        <w:br w:type="page"/>
      </w:r>
      <w:r>
        <w:rPr>
          <w:rFonts w:hint="eastAsia" w:ascii="黑体" w:hAnsi="宋体" w:eastAsia="黑体"/>
          <w:sz w:val="24"/>
          <w:szCs w:val="24"/>
        </w:rPr>
        <w:t>（四）其它优惠承诺（格式自定）</w:t>
      </w:r>
    </w:p>
    <w:p/>
    <w:p/>
    <w:p/>
    <w:p/>
    <w:p/>
    <w:p/>
    <w:p/>
    <w:p/>
    <w:p/>
    <w:p/>
    <w:p/>
    <w:p/>
    <w:p/>
    <w:p/>
    <w:p/>
    <w:p/>
    <w:p/>
    <w:p/>
    <w:p/>
    <w:p/>
    <w:p/>
    <w:p>
      <w:pPr>
        <w:pStyle w:val="3"/>
        <w:spacing w:before="0" w:after="0" w:line="360" w:lineRule="auto"/>
        <w:rPr>
          <w:rFonts w:ascii="黑体" w:eastAsia="黑体"/>
        </w:rPr>
      </w:pPr>
      <w:bookmarkStart w:id="60" w:name="_Toc313008359"/>
      <w:bookmarkStart w:id="61" w:name="_Toc313888363"/>
      <w:bookmarkStart w:id="62" w:name="_Toc342913422"/>
      <w:bookmarkStart w:id="63" w:name="_Toc415471848"/>
      <w:r>
        <w:rPr>
          <w:rFonts w:hint="eastAsia" w:ascii="黑体" w:hAnsi="宋体" w:eastAsia="黑体"/>
          <w:sz w:val="24"/>
          <w:szCs w:val="24"/>
        </w:rPr>
        <w:t>四、资格条件及其他</w:t>
      </w:r>
      <w:bookmarkEnd w:id="60"/>
      <w:bookmarkEnd w:id="61"/>
      <w:bookmarkEnd w:id="62"/>
      <w:bookmarkEnd w:id="63"/>
    </w:p>
    <w:p>
      <w:pPr>
        <w:numPr>
          <w:ilvl w:val="0"/>
          <w:numId w:val="4"/>
        </w:num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一般资格条件</w:t>
      </w:r>
    </w:p>
    <w:p>
      <w:pPr>
        <w:tabs>
          <w:tab w:val="left" w:pos="6300"/>
        </w:tabs>
        <w:snapToGrid w:val="0"/>
        <w:spacing w:line="360" w:lineRule="auto"/>
        <w:rPr>
          <w:rFonts w:ascii="黑体" w:hAnsi="宋体" w:eastAsia="黑体"/>
          <w:b/>
          <w:szCs w:val="28"/>
        </w:rPr>
      </w:pPr>
      <w:r>
        <w:rPr>
          <w:rFonts w:hint="eastAsia" w:ascii="黑体" w:hAnsi="宋体" w:eastAsia="黑体"/>
          <w:sz w:val="24"/>
          <w:szCs w:val="24"/>
        </w:rPr>
        <w:t xml:space="preserve">    1、法定代表人身份证明书、法定代表人授权委托书、营业执照复印件</w:t>
      </w:r>
    </w:p>
    <w:p>
      <w:pPr>
        <w:tabs>
          <w:tab w:val="left" w:pos="6300"/>
        </w:tabs>
        <w:snapToGrid w:val="0"/>
        <w:spacing w:line="400" w:lineRule="atLeast"/>
        <w:jc w:val="center"/>
        <w:outlineLvl w:val="0"/>
        <w:rPr>
          <w:rFonts w:ascii="黑体" w:hAnsi="宋体" w:eastAsia="黑体"/>
          <w:b/>
          <w:szCs w:val="28"/>
        </w:rPr>
      </w:pPr>
    </w:p>
    <w:p>
      <w:pPr>
        <w:tabs>
          <w:tab w:val="left" w:pos="6300"/>
        </w:tabs>
        <w:snapToGrid w:val="0"/>
        <w:spacing w:line="400" w:lineRule="atLeast"/>
        <w:jc w:val="center"/>
        <w:outlineLvl w:val="0"/>
        <w:rPr>
          <w:rFonts w:ascii="黑体" w:hAnsi="宋体" w:eastAsia="黑体"/>
          <w:b/>
          <w:szCs w:val="28"/>
        </w:rPr>
      </w:pPr>
      <w:r>
        <w:rPr>
          <w:rFonts w:hint="eastAsia" w:ascii="黑体" w:hAnsi="宋体" w:eastAsia="黑体"/>
          <w:b/>
          <w:szCs w:val="28"/>
        </w:rPr>
        <w:t>1.1法定代表人身份证明书（格式）</w:t>
      </w:r>
    </w:p>
    <w:p>
      <w:pPr>
        <w:tabs>
          <w:tab w:val="left" w:pos="6300"/>
        </w:tabs>
        <w:snapToGrid w:val="0"/>
        <w:spacing w:line="360" w:lineRule="auto"/>
        <w:rPr>
          <w:rFonts w:ascii="黑体" w:hAnsi="宋体" w:eastAsia="黑体"/>
          <w:sz w:val="24"/>
          <w:szCs w:val="24"/>
        </w:rPr>
      </w:pPr>
    </w:p>
    <w:p>
      <w:pPr>
        <w:tabs>
          <w:tab w:val="left" w:pos="6300"/>
        </w:tabs>
        <w:snapToGrid w:val="0"/>
        <w:spacing w:line="360" w:lineRule="auto"/>
        <w:ind w:firstLine="640" w:firstLineChars="267"/>
        <w:rPr>
          <w:rFonts w:ascii="黑体" w:hAnsi="宋体" w:eastAsia="黑体"/>
          <w:sz w:val="24"/>
          <w:szCs w:val="24"/>
        </w:rPr>
      </w:pPr>
      <w:r>
        <w:rPr>
          <w:rFonts w:hint="eastAsia" w:ascii="黑体" w:hAnsi="宋体" w:eastAsia="黑体"/>
          <w:sz w:val="24"/>
          <w:szCs w:val="24"/>
        </w:rPr>
        <w:t>（法定代表人姓名）在（供应商名称）任（职务名称）职务，是__________________（竞争人名称）的法定代表人。</w:t>
      </w:r>
    </w:p>
    <w:p>
      <w:pPr>
        <w:tabs>
          <w:tab w:val="left" w:pos="6300"/>
        </w:tabs>
        <w:snapToGrid w:val="0"/>
        <w:spacing w:line="360" w:lineRule="auto"/>
        <w:ind w:firstLine="573"/>
        <w:rPr>
          <w:rFonts w:ascii="黑体" w:hAnsi="宋体" w:eastAsia="黑体"/>
          <w:sz w:val="24"/>
          <w:szCs w:val="24"/>
        </w:rPr>
      </w:pPr>
    </w:p>
    <w:p>
      <w:pPr>
        <w:tabs>
          <w:tab w:val="left" w:pos="6300"/>
        </w:tabs>
        <w:snapToGrid w:val="0"/>
        <w:spacing w:line="360" w:lineRule="auto"/>
        <w:ind w:firstLine="573"/>
        <w:outlineLvl w:val="0"/>
        <w:rPr>
          <w:rFonts w:ascii="黑体" w:hAnsi="宋体" w:eastAsia="黑体"/>
          <w:sz w:val="24"/>
          <w:szCs w:val="24"/>
        </w:rPr>
      </w:pPr>
      <w:r>
        <w:rPr>
          <w:rFonts w:hint="eastAsia" w:ascii="黑体" w:hAnsi="宋体" w:eastAsia="黑体"/>
          <w:sz w:val="24"/>
          <w:szCs w:val="24"/>
        </w:rPr>
        <w:t>特此证明。</w:t>
      </w:r>
    </w:p>
    <w:p>
      <w:pPr>
        <w:tabs>
          <w:tab w:val="left" w:pos="6300"/>
        </w:tabs>
        <w:snapToGrid w:val="0"/>
        <w:spacing w:line="360" w:lineRule="auto"/>
        <w:rPr>
          <w:rFonts w:ascii="黑体" w:hAnsi="宋体" w:eastAsia="黑体"/>
          <w:sz w:val="24"/>
          <w:szCs w:val="24"/>
        </w:rPr>
      </w:pPr>
    </w:p>
    <w:p>
      <w:pPr>
        <w:tabs>
          <w:tab w:val="left" w:pos="6300"/>
        </w:tabs>
        <w:snapToGrid w:val="0"/>
        <w:spacing w:line="360" w:lineRule="auto"/>
        <w:outlineLvl w:val="0"/>
        <w:rPr>
          <w:rFonts w:ascii="黑体" w:hAnsi="宋体" w:eastAsia="黑体"/>
          <w:sz w:val="24"/>
          <w:szCs w:val="24"/>
        </w:rPr>
      </w:pPr>
      <w:r>
        <w:rPr>
          <w:rFonts w:hint="eastAsia" w:ascii="黑体" w:hAnsi="宋体" w:eastAsia="黑体"/>
          <w:sz w:val="24"/>
          <w:szCs w:val="24"/>
        </w:rPr>
        <w:t xml:space="preserve">                                            （供应商全称）</w:t>
      </w: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 xml:space="preserve">                                             年   月   日</w:t>
      </w: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 xml:space="preserve">                                               （公章）</w:t>
      </w:r>
    </w:p>
    <w:p>
      <w:pPr>
        <w:tabs>
          <w:tab w:val="left" w:pos="6300"/>
        </w:tabs>
        <w:snapToGrid w:val="0"/>
        <w:spacing w:line="360" w:lineRule="auto"/>
        <w:rPr>
          <w:rFonts w:ascii="黑体" w:hAnsi="宋体" w:eastAsia="黑体"/>
          <w:sz w:val="24"/>
          <w:szCs w:val="24"/>
        </w:rPr>
      </w:pP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附：上述法定代表人住址：</w:t>
      </w: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 xml:space="preserve">            身份证号码：</w:t>
      </w: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 xml:space="preserve">              电    传：</w:t>
      </w: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 xml:space="preserve">              网    址：</w:t>
      </w: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 xml:space="preserve">              邮政编码：</w:t>
      </w:r>
    </w:p>
    <w:p>
      <w:pPr>
        <w:tabs>
          <w:tab w:val="left" w:pos="6300"/>
        </w:tabs>
        <w:snapToGrid w:val="0"/>
        <w:spacing w:line="500" w:lineRule="exact"/>
        <w:ind w:firstLine="570"/>
        <w:rPr>
          <w:rFonts w:ascii="黑体" w:hAnsi="宋体" w:eastAsia="黑体"/>
          <w:sz w:val="24"/>
          <w:szCs w:val="28"/>
        </w:rPr>
      </w:pPr>
      <w:r>
        <w:rPr>
          <w:rFonts w:hint="eastAsia" w:ascii="黑体" w:hAnsi="宋体" w:eastAsia="黑体"/>
          <w:sz w:val="24"/>
          <w:szCs w:val="28"/>
        </w:rPr>
        <w:t>（附：法定代表人身份证复印件）</w:t>
      </w:r>
    </w:p>
    <w:p>
      <w:pPr>
        <w:tabs>
          <w:tab w:val="left" w:pos="6300"/>
        </w:tabs>
        <w:snapToGrid w:val="0"/>
        <w:spacing w:line="360" w:lineRule="auto"/>
        <w:rPr>
          <w:rFonts w:ascii="黑体" w:hAnsi="宋体" w:eastAsia="黑体"/>
          <w:sz w:val="24"/>
          <w:szCs w:val="24"/>
        </w:rPr>
      </w:pPr>
    </w:p>
    <w:p>
      <w:pPr>
        <w:tabs>
          <w:tab w:val="left" w:pos="6300"/>
        </w:tabs>
        <w:snapToGrid w:val="0"/>
        <w:spacing w:line="400" w:lineRule="atLeast"/>
        <w:rPr>
          <w:rFonts w:ascii="黑体" w:eastAsia="黑体"/>
        </w:rPr>
      </w:pPr>
    </w:p>
    <w:p>
      <w:pPr>
        <w:rPr>
          <w:rFonts w:ascii="黑体" w:hAnsi="宋体" w:eastAsia="黑体"/>
          <w:b/>
          <w:szCs w:val="28"/>
        </w:rPr>
      </w:pPr>
      <w:r>
        <w:rPr>
          <w:rFonts w:hint="eastAsia" w:ascii="黑体" w:hAnsi="宋体" w:eastAsia="黑体"/>
          <w:b/>
          <w:szCs w:val="28"/>
        </w:rPr>
        <w:br w:type="page"/>
      </w:r>
    </w:p>
    <w:p>
      <w:pPr>
        <w:tabs>
          <w:tab w:val="left" w:pos="6300"/>
        </w:tabs>
        <w:snapToGrid w:val="0"/>
        <w:spacing w:line="400" w:lineRule="atLeast"/>
        <w:jc w:val="center"/>
        <w:outlineLvl w:val="0"/>
        <w:rPr>
          <w:rFonts w:ascii="黑体" w:hAnsi="宋体" w:eastAsia="黑体"/>
          <w:b/>
          <w:szCs w:val="28"/>
        </w:rPr>
      </w:pPr>
      <w:r>
        <w:rPr>
          <w:rFonts w:hint="eastAsia" w:ascii="黑体" w:hAnsi="宋体" w:eastAsia="黑体"/>
          <w:b/>
          <w:szCs w:val="28"/>
        </w:rPr>
        <w:t>1.2法定代表人授权委托书（格式）</w:t>
      </w:r>
    </w:p>
    <w:p>
      <w:pPr>
        <w:tabs>
          <w:tab w:val="left" w:pos="6300"/>
        </w:tabs>
        <w:snapToGrid w:val="0"/>
        <w:spacing w:line="360" w:lineRule="auto"/>
        <w:rPr>
          <w:rFonts w:ascii="黑体" w:hAnsi="宋体" w:eastAsia="黑体"/>
          <w:sz w:val="24"/>
          <w:szCs w:val="24"/>
        </w:rPr>
      </w:pP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项目名称：_______________</w:t>
      </w: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日    期：_______________</w:t>
      </w: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致：_重庆市江北区中医院__</w:t>
      </w:r>
    </w:p>
    <w:p>
      <w:pPr>
        <w:tabs>
          <w:tab w:val="left" w:pos="6300"/>
        </w:tabs>
        <w:snapToGrid w:val="0"/>
        <w:spacing w:line="360" w:lineRule="auto"/>
        <w:ind w:firstLine="555"/>
        <w:rPr>
          <w:rFonts w:ascii="黑体" w:hAnsi="宋体" w:eastAsia="黑体"/>
          <w:sz w:val="24"/>
          <w:szCs w:val="24"/>
        </w:rPr>
      </w:pPr>
      <w:r>
        <w:rPr>
          <w:rFonts w:hint="eastAsia" w:ascii="黑体" w:hAnsi="宋体" w:eastAsia="黑体"/>
          <w:sz w:val="24"/>
          <w:szCs w:val="24"/>
        </w:rPr>
        <w:t>_____________________（供应商名称）是中华人民共和国合法企业，法定地址______________________________。</w:t>
      </w:r>
    </w:p>
    <w:p>
      <w:pPr>
        <w:tabs>
          <w:tab w:val="left" w:pos="6300"/>
        </w:tabs>
        <w:snapToGrid w:val="0"/>
        <w:spacing w:line="360" w:lineRule="auto"/>
        <w:ind w:firstLine="555"/>
        <w:rPr>
          <w:rFonts w:ascii="黑体" w:hAnsi="宋体" w:eastAsia="黑体"/>
          <w:sz w:val="24"/>
          <w:szCs w:val="24"/>
        </w:rPr>
      </w:pPr>
      <w:r>
        <w:rPr>
          <w:rFonts w:hint="eastAsia" w:ascii="黑体" w:hAnsi="宋体" w:eastAsia="黑体"/>
          <w:sz w:val="24"/>
          <w:szCs w:val="24"/>
        </w:rPr>
        <w:t xml:space="preserve"> _________（供应商法定代表人姓名）特授权_________（被授权人姓名及身份证代码）代表我单位全权办理对上述项目的</w:t>
      </w:r>
      <w:r>
        <w:rPr>
          <w:rFonts w:hint="eastAsia" w:ascii="黑体" w:hAnsi="宋体" w:eastAsia="黑体"/>
          <w:color w:val="000000"/>
          <w:sz w:val="24"/>
          <w:szCs w:val="24"/>
        </w:rPr>
        <w:t>磋商</w:t>
      </w:r>
      <w:r>
        <w:rPr>
          <w:rFonts w:hint="eastAsia" w:ascii="黑体" w:hAnsi="宋体" w:eastAsia="黑体"/>
          <w:sz w:val="24"/>
          <w:szCs w:val="24"/>
        </w:rPr>
        <w:t>、签约等具体工作，并签署全部有关的文件、协议及合同。</w:t>
      </w:r>
    </w:p>
    <w:p>
      <w:pPr>
        <w:tabs>
          <w:tab w:val="left" w:pos="6300"/>
        </w:tabs>
        <w:snapToGrid w:val="0"/>
        <w:spacing w:line="360" w:lineRule="auto"/>
        <w:ind w:firstLine="555"/>
        <w:rPr>
          <w:rFonts w:ascii="黑体" w:hAnsi="宋体" w:eastAsia="黑体"/>
          <w:sz w:val="24"/>
          <w:szCs w:val="24"/>
        </w:rPr>
      </w:pPr>
      <w:r>
        <w:rPr>
          <w:rFonts w:hint="eastAsia" w:ascii="黑体" w:hAnsi="宋体" w:eastAsia="黑体"/>
          <w:sz w:val="24"/>
          <w:szCs w:val="24"/>
        </w:rPr>
        <w:t>我单位对被授权人的签字负全部责任。</w:t>
      </w:r>
    </w:p>
    <w:p>
      <w:pPr>
        <w:tabs>
          <w:tab w:val="left" w:pos="6300"/>
        </w:tabs>
        <w:snapToGrid w:val="0"/>
        <w:spacing w:line="360" w:lineRule="auto"/>
        <w:ind w:firstLine="555"/>
        <w:rPr>
          <w:rFonts w:ascii="黑体" w:hAnsi="宋体" w:eastAsia="黑体"/>
          <w:sz w:val="24"/>
          <w:szCs w:val="24"/>
        </w:rPr>
      </w:pPr>
      <w:r>
        <w:rPr>
          <w:rFonts w:hint="eastAsia" w:ascii="黑体" w:hAnsi="宋体" w:eastAsia="黑体"/>
          <w:sz w:val="24"/>
          <w:szCs w:val="24"/>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ascii="黑体" w:hAnsi="宋体" w:eastAsia="黑体"/>
          <w:sz w:val="24"/>
          <w:szCs w:val="24"/>
        </w:rPr>
      </w:pPr>
    </w:p>
    <w:p>
      <w:pPr>
        <w:tabs>
          <w:tab w:val="left" w:pos="6300"/>
        </w:tabs>
        <w:snapToGrid w:val="0"/>
        <w:spacing w:line="360" w:lineRule="auto"/>
        <w:rPr>
          <w:rFonts w:ascii="黑体" w:hAnsi="宋体" w:eastAsia="黑体"/>
          <w:sz w:val="24"/>
          <w:szCs w:val="24"/>
        </w:rPr>
      </w:pPr>
    </w:p>
    <w:p>
      <w:p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被授权人：                                  法定代表人：</w:t>
      </w:r>
    </w:p>
    <w:p>
      <w:pPr>
        <w:tabs>
          <w:tab w:val="left" w:pos="6300"/>
        </w:tabs>
        <w:snapToGrid w:val="0"/>
        <w:spacing w:line="360" w:lineRule="auto"/>
        <w:ind w:firstLine="240" w:firstLineChars="100"/>
        <w:rPr>
          <w:rFonts w:ascii="黑体" w:hAnsi="宋体" w:eastAsia="黑体"/>
          <w:sz w:val="24"/>
          <w:szCs w:val="24"/>
        </w:rPr>
      </w:pPr>
      <w:r>
        <w:rPr>
          <w:rFonts w:hint="eastAsia" w:ascii="黑体" w:hAnsi="宋体" w:eastAsia="黑体"/>
          <w:sz w:val="24"/>
          <w:szCs w:val="28"/>
        </w:rPr>
        <w:t>（签字或盖章）（签字或盖章）</w:t>
      </w:r>
      <w:r>
        <w:rPr>
          <w:rFonts w:hint="eastAsia" w:ascii="黑体" w:hAnsi="宋体" w:eastAsia="黑体"/>
          <w:sz w:val="24"/>
          <w:szCs w:val="24"/>
        </w:rPr>
        <w:t>：</w:t>
      </w:r>
    </w:p>
    <w:p>
      <w:pPr>
        <w:tabs>
          <w:tab w:val="left" w:pos="6300"/>
        </w:tabs>
        <w:snapToGrid w:val="0"/>
        <w:spacing w:line="500" w:lineRule="exact"/>
        <w:ind w:firstLine="570"/>
        <w:rPr>
          <w:rFonts w:ascii="黑体" w:hAnsi="宋体" w:eastAsia="黑体"/>
          <w:sz w:val="24"/>
          <w:szCs w:val="28"/>
        </w:rPr>
      </w:pPr>
    </w:p>
    <w:p>
      <w:pPr>
        <w:tabs>
          <w:tab w:val="left" w:pos="6300"/>
        </w:tabs>
        <w:snapToGrid w:val="0"/>
        <w:spacing w:line="500" w:lineRule="exact"/>
        <w:ind w:firstLine="570"/>
        <w:rPr>
          <w:rFonts w:ascii="黑体" w:hAnsi="宋体" w:eastAsia="黑体"/>
          <w:sz w:val="24"/>
          <w:szCs w:val="28"/>
        </w:rPr>
      </w:pPr>
      <w:bookmarkStart w:id="64" w:name="OLE_LINK3"/>
      <w:bookmarkStart w:id="65" w:name="OLE_LINK4"/>
      <w:r>
        <w:rPr>
          <w:rFonts w:hint="eastAsia" w:ascii="黑体" w:hAnsi="宋体" w:eastAsia="黑体"/>
          <w:sz w:val="24"/>
          <w:szCs w:val="28"/>
        </w:rPr>
        <w:t>（附：被授权人身份证复印件）</w:t>
      </w:r>
      <w:bookmarkEnd w:id="64"/>
      <w:bookmarkEnd w:id="65"/>
    </w:p>
    <w:p>
      <w:pPr>
        <w:tabs>
          <w:tab w:val="left" w:pos="6300"/>
        </w:tabs>
        <w:snapToGrid w:val="0"/>
        <w:spacing w:line="360" w:lineRule="auto"/>
        <w:rPr>
          <w:rFonts w:ascii="黑体" w:hAnsi="宋体" w:eastAsia="黑体"/>
          <w:sz w:val="24"/>
          <w:szCs w:val="24"/>
        </w:rPr>
      </w:pPr>
    </w:p>
    <w:p>
      <w:pPr>
        <w:snapToGrid w:val="0"/>
        <w:spacing w:line="360" w:lineRule="auto"/>
        <w:rPr>
          <w:rFonts w:ascii="黑体" w:hAnsi="宋体" w:eastAsia="黑体"/>
          <w:sz w:val="24"/>
          <w:szCs w:val="24"/>
        </w:rPr>
      </w:pPr>
      <w:r>
        <w:rPr>
          <w:rFonts w:hint="eastAsia" w:ascii="黑体" w:hAnsi="宋体" w:eastAsia="黑体"/>
          <w:sz w:val="24"/>
          <w:szCs w:val="24"/>
        </w:rPr>
        <w:t xml:space="preserve">                                                    （供应商公章）</w:t>
      </w:r>
    </w:p>
    <w:p>
      <w:pPr>
        <w:snapToGrid w:val="0"/>
        <w:spacing w:line="360" w:lineRule="auto"/>
        <w:ind w:firstLine="6480" w:firstLineChars="2700"/>
        <w:rPr>
          <w:rFonts w:ascii="黑体" w:hAnsi="宋体" w:eastAsia="黑体"/>
          <w:sz w:val="24"/>
          <w:szCs w:val="24"/>
        </w:rPr>
      </w:pPr>
      <w:r>
        <w:rPr>
          <w:rFonts w:hint="eastAsia" w:ascii="黑体" w:hAnsi="宋体" w:eastAsia="黑体"/>
          <w:sz w:val="24"/>
          <w:szCs w:val="28"/>
        </w:rPr>
        <w:t>年   月   日</w:t>
      </w:r>
    </w:p>
    <w:p>
      <w:pPr>
        <w:rPr>
          <w:rFonts w:ascii="黑体" w:hAnsi="宋体" w:eastAsia="黑体"/>
          <w:b/>
          <w:szCs w:val="28"/>
        </w:rPr>
      </w:pPr>
      <w:r>
        <w:rPr>
          <w:rFonts w:hint="eastAsia" w:ascii="黑体" w:hAnsi="宋体" w:eastAsia="黑体"/>
          <w:sz w:val="24"/>
          <w:szCs w:val="24"/>
        </w:rPr>
        <w:br w:type="page"/>
      </w:r>
    </w:p>
    <w:p>
      <w:p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1.3营业执照副本复印件</w:t>
      </w:r>
    </w:p>
    <w:p>
      <w:p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2、最近一年财务报表的复印件（可用诚信声明代替）</w:t>
      </w:r>
    </w:p>
    <w:p>
      <w:p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3、售后服务机构、服务能力证明材料（格式自定）</w:t>
      </w:r>
    </w:p>
    <w:p>
      <w:p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4、近三个月的缴税记录和社会保险缴纳证明（提供复印件）（可用诚信声明代替）</w:t>
      </w:r>
    </w:p>
    <w:p>
      <w:p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5、参加本项目采购活动诚信声明：</w:t>
      </w:r>
    </w:p>
    <w:p/>
    <w:p/>
    <w:p/>
    <w:p/>
    <w:p/>
    <w:p/>
    <w:p/>
    <w:p/>
    <w:p/>
    <w:p/>
    <w:p/>
    <w:p/>
    <w:p/>
    <w:p/>
    <w:p/>
    <w:p/>
    <w:p/>
    <w:p/>
    <w:p>
      <w:pPr>
        <w:tabs>
          <w:tab w:val="left" w:pos="6300"/>
        </w:tabs>
        <w:snapToGrid w:val="0"/>
        <w:spacing w:line="500" w:lineRule="exact"/>
        <w:ind w:firstLine="140" w:firstLineChars="50"/>
        <w:jc w:val="center"/>
        <w:rPr>
          <w:rFonts w:ascii="黑体" w:hAnsi="宋体" w:eastAsia="黑体"/>
          <w:szCs w:val="28"/>
        </w:rPr>
      </w:pPr>
      <w:r>
        <w:rPr>
          <w:rFonts w:hint="eastAsia" w:ascii="黑体" w:hAnsi="宋体" w:eastAsia="黑体"/>
          <w:szCs w:val="28"/>
        </w:rPr>
        <w:t>诚信声明</w:t>
      </w:r>
    </w:p>
    <w:p>
      <w:pPr>
        <w:tabs>
          <w:tab w:val="left" w:pos="6300"/>
        </w:tabs>
        <w:snapToGrid w:val="0"/>
        <w:spacing w:line="500" w:lineRule="exact"/>
        <w:jc w:val="center"/>
        <w:rPr>
          <w:rFonts w:ascii="黑体" w:hAnsi="宋体" w:eastAsia="黑体"/>
          <w:sz w:val="24"/>
          <w:szCs w:val="28"/>
        </w:rPr>
      </w:pPr>
    </w:p>
    <w:p>
      <w:pPr>
        <w:tabs>
          <w:tab w:val="left" w:pos="6300"/>
        </w:tabs>
        <w:snapToGrid w:val="0"/>
        <w:spacing w:line="500" w:lineRule="exact"/>
        <w:ind w:firstLine="480" w:firstLineChars="200"/>
        <w:rPr>
          <w:rFonts w:ascii="黑体" w:hAnsi="宋体" w:eastAsia="黑体"/>
          <w:sz w:val="24"/>
          <w:szCs w:val="28"/>
          <w:u w:val="single"/>
        </w:rPr>
      </w:pPr>
      <w:r>
        <w:rPr>
          <w:rFonts w:hint="eastAsia" w:ascii="黑体" w:hAnsi="宋体" w:eastAsia="黑体"/>
          <w:sz w:val="24"/>
          <w:szCs w:val="28"/>
        </w:rPr>
        <w:t>采购项目名称：</w:t>
      </w:r>
    </w:p>
    <w:p>
      <w:pPr>
        <w:tabs>
          <w:tab w:val="left" w:pos="6300"/>
        </w:tabs>
        <w:snapToGrid w:val="0"/>
        <w:spacing w:line="500" w:lineRule="exact"/>
        <w:rPr>
          <w:rFonts w:ascii="黑体" w:hAnsi="宋体" w:eastAsia="黑体"/>
          <w:sz w:val="24"/>
          <w:szCs w:val="28"/>
        </w:rPr>
      </w:pPr>
    </w:p>
    <w:p>
      <w:pPr>
        <w:tabs>
          <w:tab w:val="left" w:pos="6300"/>
        </w:tabs>
        <w:snapToGrid w:val="0"/>
        <w:spacing w:line="500" w:lineRule="exact"/>
        <w:rPr>
          <w:rFonts w:ascii="黑体" w:hAnsi="宋体" w:eastAsia="黑体"/>
          <w:sz w:val="24"/>
          <w:szCs w:val="28"/>
        </w:rPr>
      </w:pPr>
      <w:r>
        <w:rPr>
          <w:rFonts w:hint="eastAsia" w:ascii="黑体" w:hAnsi="宋体" w:eastAsia="黑体"/>
          <w:sz w:val="24"/>
          <w:szCs w:val="28"/>
        </w:rPr>
        <w:t>致：</w:t>
      </w:r>
      <w:r>
        <w:rPr>
          <w:rFonts w:hint="eastAsia" w:ascii="黑体" w:hAnsi="宋体" w:eastAsia="黑体"/>
          <w:sz w:val="24"/>
          <w:szCs w:val="28"/>
          <w:u w:val="single"/>
        </w:rPr>
        <w:t>重庆市江北区中医院</w:t>
      </w:r>
      <w:r>
        <w:rPr>
          <w:rFonts w:hint="eastAsia" w:ascii="黑体" w:hAnsi="宋体" w:eastAsia="黑体"/>
          <w:sz w:val="24"/>
          <w:szCs w:val="28"/>
        </w:rPr>
        <w:t>：</w:t>
      </w:r>
    </w:p>
    <w:p>
      <w:pPr>
        <w:pStyle w:val="29"/>
        <w:spacing w:line="440" w:lineRule="exact"/>
        <w:ind w:firstLine="480" w:firstLineChars="200"/>
        <w:rPr>
          <w:rFonts w:ascii="黑体" w:hAnsi="宋体" w:eastAsia="黑体"/>
          <w:sz w:val="24"/>
          <w:szCs w:val="28"/>
        </w:rPr>
      </w:pPr>
      <w:r>
        <w:rPr>
          <w:rFonts w:hint="eastAsia" w:ascii="黑体" w:hAnsi="宋体" w:eastAsia="黑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rPr>
          <w:rFonts w:ascii="黑体" w:hAnsi="宋体" w:eastAsia="黑体"/>
          <w:sz w:val="24"/>
          <w:szCs w:val="28"/>
        </w:rPr>
      </w:pPr>
      <w:r>
        <w:rPr>
          <w:rFonts w:hint="eastAsia" w:ascii="黑体" w:hAnsi="宋体" w:eastAsia="黑体"/>
          <w:sz w:val="24"/>
          <w:szCs w:val="28"/>
        </w:rPr>
        <w:t xml:space="preserve">    特此声明。</w:t>
      </w:r>
    </w:p>
    <w:p>
      <w:pPr>
        <w:tabs>
          <w:tab w:val="left" w:pos="6300"/>
        </w:tabs>
        <w:snapToGrid w:val="0"/>
        <w:spacing w:line="500" w:lineRule="exact"/>
        <w:jc w:val="center"/>
        <w:rPr>
          <w:rFonts w:ascii="黑体" w:hAnsi="宋体" w:eastAsia="黑体"/>
          <w:sz w:val="24"/>
          <w:szCs w:val="28"/>
        </w:rPr>
      </w:pPr>
    </w:p>
    <w:p>
      <w:pPr>
        <w:tabs>
          <w:tab w:val="left" w:pos="6300"/>
        </w:tabs>
        <w:snapToGrid w:val="0"/>
        <w:spacing w:line="500" w:lineRule="exact"/>
        <w:jc w:val="center"/>
        <w:rPr>
          <w:rFonts w:ascii="黑体" w:hAnsi="宋体" w:eastAsia="黑体"/>
          <w:sz w:val="24"/>
          <w:szCs w:val="28"/>
        </w:rPr>
      </w:pPr>
    </w:p>
    <w:p>
      <w:pPr>
        <w:tabs>
          <w:tab w:val="left" w:pos="6300"/>
        </w:tabs>
        <w:snapToGrid w:val="0"/>
        <w:spacing w:line="500" w:lineRule="exact"/>
        <w:rPr>
          <w:rFonts w:ascii="黑体" w:hAnsi="宋体" w:eastAsia="黑体"/>
          <w:sz w:val="24"/>
          <w:szCs w:val="28"/>
        </w:rPr>
      </w:pPr>
    </w:p>
    <w:p>
      <w:pPr>
        <w:tabs>
          <w:tab w:val="left" w:pos="6300"/>
        </w:tabs>
        <w:snapToGrid w:val="0"/>
        <w:spacing w:line="500" w:lineRule="exact"/>
        <w:ind w:firstLine="7440" w:firstLineChars="3100"/>
        <w:rPr>
          <w:rFonts w:ascii="黑体" w:hAnsi="宋体" w:eastAsia="黑体"/>
          <w:sz w:val="24"/>
          <w:szCs w:val="28"/>
        </w:rPr>
      </w:pPr>
      <w:r>
        <w:rPr>
          <w:rFonts w:hint="eastAsia" w:ascii="黑体" w:hAnsi="宋体" w:eastAsia="黑体"/>
          <w:sz w:val="24"/>
          <w:szCs w:val="28"/>
        </w:rPr>
        <w:t>（供应商公章）</w:t>
      </w:r>
    </w:p>
    <w:p>
      <w:pPr>
        <w:tabs>
          <w:tab w:val="left" w:pos="6300"/>
        </w:tabs>
        <w:snapToGrid w:val="0"/>
        <w:spacing w:line="360" w:lineRule="auto"/>
        <w:ind w:right="360" w:firstLine="480" w:firstLineChars="200"/>
        <w:jc w:val="right"/>
        <w:rPr>
          <w:rFonts w:ascii="黑体" w:hAnsi="宋体" w:eastAsia="黑体"/>
          <w:sz w:val="24"/>
          <w:szCs w:val="28"/>
        </w:rPr>
      </w:pPr>
    </w:p>
    <w:p>
      <w:pPr>
        <w:tabs>
          <w:tab w:val="left" w:pos="6300"/>
        </w:tabs>
        <w:snapToGrid w:val="0"/>
        <w:spacing w:line="360" w:lineRule="auto"/>
        <w:ind w:right="360" w:firstLine="480" w:firstLineChars="200"/>
        <w:jc w:val="right"/>
        <w:rPr>
          <w:rFonts w:ascii="黑体" w:hAnsi="宋体" w:eastAsia="黑体"/>
          <w:sz w:val="24"/>
          <w:szCs w:val="28"/>
        </w:rPr>
      </w:pPr>
      <w:r>
        <w:rPr>
          <w:rFonts w:hint="eastAsia" w:ascii="黑体" w:hAnsi="宋体" w:eastAsia="黑体"/>
          <w:sz w:val="24"/>
          <w:szCs w:val="28"/>
        </w:rPr>
        <w:t>年   月   日</w:t>
      </w:r>
    </w:p>
    <w:p>
      <w:pPr>
        <w:rPr>
          <w:rFonts w:ascii="黑体" w:hAnsi="宋体" w:eastAsia="黑体"/>
          <w:sz w:val="24"/>
          <w:szCs w:val="24"/>
        </w:rPr>
      </w:pPr>
      <w:r>
        <w:rPr>
          <w:rFonts w:hint="eastAsia" w:ascii="黑体" w:hAnsi="宋体" w:eastAsia="黑体"/>
          <w:sz w:val="24"/>
          <w:szCs w:val="24"/>
        </w:rPr>
        <w:br w:type="page"/>
      </w:r>
    </w:p>
    <w:p>
      <w:pPr>
        <w:tabs>
          <w:tab w:val="left" w:pos="6300"/>
        </w:tabs>
        <w:snapToGrid w:val="0"/>
        <w:spacing w:line="500" w:lineRule="exact"/>
        <w:outlineLvl w:val="0"/>
        <w:rPr>
          <w:rFonts w:ascii="黑体" w:hAnsi="宋体" w:eastAsia="黑体"/>
          <w:sz w:val="24"/>
          <w:szCs w:val="24"/>
        </w:rPr>
      </w:pPr>
      <w:r>
        <w:rPr>
          <w:rFonts w:hint="eastAsia" w:ascii="黑体" w:hAnsi="宋体" w:eastAsia="黑体"/>
          <w:sz w:val="24"/>
          <w:szCs w:val="24"/>
        </w:rPr>
        <w:t>（二）特定资格条件</w:t>
      </w:r>
    </w:p>
    <w:p>
      <w:p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提供完整的证明材料复印件并加盖单位公章，原件备查。</w:t>
      </w: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r>
        <w:rPr>
          <w:rFonts w:hint="eastAsia" w:ascii="黑体" w:hAnsi="宋体" w:eastAsia="黑体"/>
          <w:sz w:val="24"/>
          <w:szCs w:val="24"/>
        </w:rPr>
        <w:t>（三）其他应提供的资料</w:t>
      </w: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spacing w:line="360" w:lineRule="auto"/>
        <w:ind w:firstLine="480" w:firstLineChars="200"/>
        <w:rPr>
          <w:rFonts w:ascii="黑体" w:hAnsi="宋体" w:eastAsia="黑体"/>
          <w:sz w:val="24"/>
          <w:szCs w:val="24"/>
        </w:rPr>
      </w:pPr>
      <w:r>
        <w:rPr>
          <w:rFonts w:hint="eastAsia" w:ascii="黑体" w:hAnsi="宋体" w:eastAsia="黑体"/>
          <w:sz w:val="24"/>
          <w:szCs w:val="24"/>
        </w:rPr>
        <w:t>1.3其他与项目有关的资料（自附）：供应商总体情况介绍、其他与本项目有关的资料等。</w:t>
      </w:r>
    </w:p>
    <w:p>
      <w:pPr>
        <w:rPr>
          <w:rFonts w:ascii="黑体" w:hAnsi="宋体" w:eastAsia="黑体"/>
          <w:sz w:val="24"/>
          <w:szCs w:val="24"/>
        </w:rPr>
      </w:pPr>
    </w:p>
    <w:p>
      <w:pPr>
        <w:rPr>
          <w:rFonts w:ascii="黑体" w:hAnsi="宋体" w:eastAsia="黑体"/>
          <w:sz w:val="24"/>
          <w:szCs w:val="24"/>
        </w:rPr>
      </w:pPr>
    </w:p>
    <w:p/>
    <w:p/>
    <w:p/>
    <w:p/>
    <w:p/>
    <w:p/>
    <w:p/>
    <w:p/>
    <w:p/>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script"/>
    <w:pitch w:val="default"/>
    <w:sig w:usb0="00000000" w:usb1="00000000" w:usb2="00000010" w:usb3="00000000" w:csb0="00040000" w:csb1="00000000"/>
  </w:font>
  <w:font w:name="汉仪中黑简体">
    <w:altName w:val="宋体"/>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兰亭黑_YS_GB18030">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autofit"/>
      <w:tblCellMar>
        <w:top w:w="58" w:type="dxa"/>
        <w:left w:w="115" w:type="dxa"/>
        <w:bottom w:w="58" w:type="dxa"/>
        <w:right w:w="115" w:type="dxa"/>
      </w:tblCellMar>
    </w:tblPr>
    <w:tblGrid>
      <w:gridCol w:w="1395"/>
      <w:gridCol w:w="7906"/>
    </w:tblGrid>
    <w:tr>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750" w:type="pct"/>
        </w:tcPr>
        <w:p>
          <w:pPr>
            <w:pStyle w:val="10"/>
            <w:jc w:val="right"/>
            <w:rPr>
              <w:color w:val="4F81BD" w:themeColor="accent1"/>
            </w:rPr>
          </w:pPr>
          <w:r>
            <w:fldChar w:fldCharType="begin"/>
          </w:r>
          <w:r>
            <w:instrText xml:space="preserve"> PAGE   \* MERGEFORMAT </w:instrText>
          </w:r>
          <w:r>
            <w:fldChar w:fldCharType="separate"/>
          </w:r>
          <w:r>
            <w:rPr>
              <w:color w:val="4F81BD" w:themeColor="accent1"/>
              <w:lang w:val="zh-CN"/>
            </w:rPr>
            <w:t>1</w:t>
          </w:r>
          <w:r>
            <w:rPr>
              <w:color w:val="4F81BD" w:themeColor="accent1"/>
              <w:lang w:val="zh-CN"/>
            </w:rPr>
            <w:fldChar w:fldCharType="end"/>
          </w:r>
        </w:p>
      </w:tc>
      <w:tc>
        <w:tcPr>
          <w:tcW w:w="4250" w:type="pct"/>
        </w:tcPr>
        <w:p>
          <w:pPr>
            <w:pStyle w:val="10"/>
            <w:rPr>
              <w:color w:val="4F81BD" w:themeColor="accent1"/>
            </w:rPr>
          </w:pPr>
        </w:p>
      </w:tc>
    </w:tr>
  </w:tbl>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2" o:spid="_x0000_s4097" o:spt="202" type="#_x0000_t202" style="position:absolute;left:0pt;margin-top:0pt;height:12.8pt;width:34.8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">
          <v:path/>
          <v:fill on="f" focussize="0,0"/>
          <v:stroke on="f" joinstyle="miter"/>
          <v:imagedata o:title=""/>
          <o:lock v:ext="edit"/>
          <v:textbox inset="0mm,0mm,0mm,0mm" style="mso-fit-shape-to-text:t;">
            <w:txbxContent>
              <w:p>
                <w:pPr>
                  <w:pStyle w:val="10"/>
                  <w:rPr>
                    <w:rStyle w:val="17"/>
                    <w:sz w:val="21"/>
                    <w:szCs w:val="21"/>
                  </w:rPr>
                </w:pPr>
                <w:r>
                  <w:rPr>
                    <w:rStyle w:val="17"/>
                    <w:sz w:val="21"/>
                    <w:szCs w:val="21"/>
                  </w:rPr>
                  <w:t xml:space="preserve">— </w:t>
                </w:r>
                <w:r>
                  <w:rPr>
                    <w:sz w:val="21"/>
                    <w:szCs w:val="21"/>
                  </w:rPr>
                  <w:fldChar w:fldCharType="begin"/>
                </w:r>
                <w:r>
                  <w:rPr>
                    <w:rStyle w:val="17"/>
                    <w:sz w:val="21"/>
                    <w:szCs w:val="21"/>
                  </w:rPr>
                  <w:instrText xml:space="preserve">PAGE  </w:instrText>
                </w:r>
                <w:r>
                  <w:rPr>
                    <w:sz w:val="21"/>
                    <w:szCs w:val="21"/>
                  </w:rPr>
                  <w:fldChar w:fldCharType="separate"/>
                </w:r>
                <w:r>
                  <w:rPr>
                    <w:rStyle w:val="17"/>
                    <w:sz w:val="21"/>
                    <w:szCs w:val="21"/>
                  </w:rPr>
                  <w:t>14</w:t>
                </w:r>
                <w:r>
                  <w:rPr>
                    <w:sz w:val="21"/>
                    <w:szCs w:val="21"/>
                  </w:rPr>
                  <w:fldChar w:fldCharType="end"/>
                </w:r>
                <w:r>
                  <w:rPr>
                    <w:rStyle w:val="17"/>
                    <w:sz w:val="21"/>
                    <w:szCs w:val="21"/>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11</w:t>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14772"/>
    </w:sdtPr>
    <w:sdtContent>
      <w:p>
        <w:pPr>
          <w:pStyle w:val="10"/>
        </w:pPr>
        <w:r>
          <w:fldChar w:fldCharType="begin"/>
        </w:r>
        <w:r>
          <w:instrText xml:space="preserve"> PAGE   \* MERGEFORMAT </w:instrText>
        </w:r>
        <w:r>
          <w:fldChar w:fldCharType="separate"/>
        </w:r>
        <w:r>
          <w:rPr>
            <w:lang w:val="zh-CN"/>
          </w:rPr>
          <w:t>28</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江北区中医院招标文件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江北区中医院电梯维保文件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2A8CD1"/>
    <w:multiLevelType w:val="singleLevel"/>
    <w:tmpl w:val="E32A8CD1"/>
    <w:lvl w:ilvl="0" w:tentative="0">
      <w:start w:val="1"/>
      <w:numFmt w:val="decimal"/>
      <w:suff w:val="nothing"/>
      <w:lvlText w:val="%1、"/>
      <w:lvlJc w:val="left"/>
    </w:lvl>
  </w:abstractNum>
  <w:abstractNum w:abstractNumId="1">
    <w:nsid w:val="4252774D"/>
    <w:multiLevelType w:val="multilevel"/>
    <w:tmpl w:val="4252774D"/>
    <w:lvl w:ilvl="0" w:tentative="0">
      <w:start w:val="1"/>
      <w:numFmt w:val="japaneseCounting"/>
      <w:lvlText w:val="%1、"/>
      <w:lvlJc w:val="left"/>
      <w:pPr>
        <w:ind w:left="652"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00AB91"/>
    <w:multiLevelType w:val="singleLevel"/>
    <w:tmpl w:val="5600AB91"/>
    <w:lvl w:ilvl="0" w:tentative="0">
      <w:start w:val="3"/>
      <w:numFmt w:val="decimal"/>
      <w:suff w:val="nothing"/>
      <w:lvlText w:val="（%1）"/>
      <w:lvlJc w:val="left"/>
    </w:lvl>
  </w:abstractNum>
  <w:abstractNum w:abstractNumId="3">
    <w:nsid w:val="629D5D83"/>
    <w:multiLevelType w:val="singleLevel"/>
    <w:tmpl w:val="629D5D83"/>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70A55"/>
    <w:rsid w:val="00003E91"/>
    <w:rsid w:val="0000741C"/>
    <w:rsid w:val="00044FBB"/>
    <w:rsid w:val="00047679"/>
    <w:rsid w:val="000E04F4"/>
    <w:rsid w:val="000E36C1"/>
    <w:rsid w:val="000F659A"/>
    <w:rsid w:val="001068E4"/>
    <w:rsid w:val="00121F41"/>
    <w:rsid w:val="001221ED"/>
    <w:rsid w:val="00176C48"/>
    <w:rsid w:val="001B6231"/>
    <w:rsid w:val="002117C6"/>
    <w:rsid w:val="00213EF4"/>
    <w:rsid w:val="002453B6"/>
    <w:rsid w:val="0027050E"/>
    <w:rsid w:val="0028023B"/>
    <w:rsid w:val="0029791F"/>
    <w:rsid w:val="002A3873"/>
    <w:rsid w:val="002C20BC"/>
    <w:rsid w:val="00340148"/>
    <w:rsid w:val="003817C2"/>
    <w:rsid w:val="003A1DF6"/>
    <w:rsid w:val="003B1748"/>
    <w:rsid w:val="003F1F03"/>
    <w:rsid w:val="00426C3B"/>
    <w:rsid w:val="00477FEB"/>
    <w:rsid w:val="004D1922"/>
    <w:rsid w:val="004D6681"/>
    <w:rsid w:val="004D69B4"/>
    <w:rsid w:val="005554A8"/>
    <w:rsid w:val="00567E8B"/>
    <w:rsid w:val="00576BF7"/>
    <w:rsid w:val="005B357A"/>
    <w:rsid w:val="005E1FBF"/>
    <w:rsid w:val="005E72B9"/>
    <w:rsid w:val="00684166"/>
    <w:rsid w:val="006A0EF6"/>
    <w:rsid w:val="006D6DE4"/>
    <w:rsid w:val="00722F01"/>
    <w:rsid w:val="007436D2"/>
    <w:rsid w:val="00774DF9"/>
    <w:rsid w:val="00787271"/>
    <w:rsid w:val="007A5F27"/>
    <w:rsid w:val="007C06E6"/>
    <w:rsid w:val="008023C2"/>
    <w:rsid w:val="0084521D"/>
    <w:rsid w:val="00847F00"/>
    <w:rsid w:val="00876912"/>
    <w:rsid w:val="008D41FE"/>
    <w:rsid w:val="009451D0"/>
    <w:rsid w:val="00956C0D"/>
    <w:rsid w:val="00A01BAF"/>
    <w:rsid w:val="00A27422"/>
    <w:rsid w:val="00A62ED2"/>
    <w:rsid w:val="00AD00E9"/>
    <w:rsid w:val="00B32514"/>
    <w:rsid w:val="00B60036"/>
    <w:rsid w:val="00C019D1"/>
    <w:rsid w:val="00C165CE"/>
    <w:rsid w:val="00C56177"/>
    <w:rsid w:val="00C812B2"/>
    <w:rsid w:val="00C956DE"/>
    <w:rsid w:val="00CD6A7B"/>
    <w:rsid w:val="00D100A3"/>
    <w:rsid w:val="00D24736"/>
    <w:rsid w:val="00D85100"/>
    <w:rsid w:val="00D90890"/>
    <w:rsid w:val="00E618AC"/>
    <w:rsid w:val="00EA09BC"/>
    <w:rsid w:val="00EA68EE"/>
    <w:rsid w:val="00EB1C44"/>
    <w:rsid w:val="00EB6CFC"/>
    <w:rsid w:val="00F02D30"/>
    <w:rsid w:val="00F15AB3"/>
    <w:rsid w:val="00F443F9"/>
    <w:rsid w:val="00F566B8"/>
    <w:rsid w:val="00F70A55"/>
    <w:rsid w:val="00FA627D"/>
    <w:rsid w:val="00FA77A3"/>
    <w:rsid w:val="02D521F9"/>
    <w:rsid w:val="04EB218A"/>
    <w:rsid w:val="0EE327DE"/>
    <w:rsid w:val="18EC18AB"/>
    <w:rsid w:val="1EDE0DC9"/>
    <w:rsid w:val="202215D9"/>
    <w:rsid w:val="2FD12204"/>
    <w:rsid w:val="30C0555D"/>
    <w:rsid w:val="319B563B"/>
    <w:rsid w:val="396C23FB"/>
    <w:rsid w:val="3AD515B1"/>
    <w:rsid w:val="3B3B62A4"/>
    <w:rsid w:val="40005B25"/>
    <w:rsid w:val="422B0659"/>
    <w:rsid w:val="4C837498"/>
    <w:rsid w:val="4DD44E75"/>
    <w:rsid w:val="4DFC10AA"/>
    <w:rsid w:val="515D2B9F"/>
    <w:rsid w:val="572B105F"/>
    <w:rsid w:val="5E0C7271"/>
    <w:rsid w:val="5EC51D9E"/>
    <w:rsid w:val="61832D5E"/>
    <w:rsid w:val="66002157"/>
    <w:rsid w:val="66347DC8"/>
    <w:rsid w:val="66794079"/>
    <w:rsid w:val="67731FF6"/>
    <w:rsid w:val="6D2E343E"/>
    <w:rsid w:val="70815079"/>
    <w:rsid w:val="71CC5A6D"/>
    <w:rsid w:val="73113857"/>
    <w:rsid w:val="75861DB4"/>
    <w:rsid w:val="79E32AD3"/>
    <w:rsid w:val="7C0E4D45"/>
    <w:rsid w:val="7D2E7E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2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link w:val="22"/>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qFormat/>
    <w:uiPriority w:val="0"/>
    <w:pPr>
      <w:widowControl/>
      <w:tabs>
        <w:tab w:val="left" w:pos="1134"/>
      </w:tabs>
      <w:adjustRightInd w:val="0"/>
      <w:snapToGrid w:val="0"/>
      <w:spacing w:line="280" w:lineRule="atLeast"/>
      <w:jc w:val="left"/>
    </w:pPr>
    <w:rPr>
      <w:rFonts w:eastAsia="PMingLiU" w:asciiTheme="minorHAnsi" w:hAnsiTheme="minorHAnsi" w:cstheme="minorBidi"/>
      <w:sz w:val="24"/>
      <w:szCs w:val="22"/>
      <w:lang w:eastAsia="zh-TW"/>
    </w:rPr>
  </w:style>
  <w:style w:type="paragraph" w:styleId="5">
    <w:name w:val="Body Text"/>
    <w:basedOn w:val="1"/>
    <w:link w:val="28"/>
    <w:unhideWhenUsed/>
    <w:qFormat/>
    <w:uiPriority w:val="99"/>
    <w:pPr>
      <w:spacing w:after="120"/>
    </w:pPr>
  </w:style>
  <w:style w:type="paragraph" w:styleId="6">
    <w:name w:val="Plain Text"/>
    <w:basedOn w:val="1"/>
    <w:link w:val="31"/>
    <w:qFormat/>
    <w:uiPriority w:val="0"/>
    <w:rPr>
      <w:rFonts w:ascii="宋体" w:hAnsi="Courier New"/>
      <w:sz w:val="21"/>
    </w:rPr>
  </w:style>
  <w:style w:type="paragraph" w:styleId="7">
    <w:name w:val="Date"/>
    <w:basedOn w:val="1"/>
    <w:next w:val="1"/>
    <w:link w:val="33"/>
    <w:qFormat/>
    <w:uiPriority w:val="0"/>
    <w:rPr>
      <w:rFonts w:asciiTheme="minorHAnsi" w:hAnsiTheme="minorHAnsi" w:eastAsiaTheme="minorEastAsia" w:cstheme="minorBidi"/>
      <w:szCs w:val="22"/>
    </w:rPr>
  </w:style>
  <w:style w:type="paragraph" w:styleId="8">
    <w:name w:val="Body Text Indent 2"/>
    <w:basedOn w:val="1"/>
    <w:link w:val="27"/>
    <w:qFormat/>
    <w:uiPriority w:val="0"/>
    <w:pPr>
      <w:snapToGrid w:val="0"/>
      <w:spacing w:line="560" w:lineRule="atLeast"/>
      <w:ind w:firstLine="540"/>
    </w:pPr>
    <w:rPr>
      <w:rFonts w:asciiTheme="minorHAnsi" w:hAnsiTheme="minorHAnsi" w:eastAsiaTheme="minorEastAsia" w:cstheme="minorBidi"/>
      <w:szCs w:val="22"/>
    </w:rPr>
  </w:style>
  <w:style w:type="paragraph" w:styleId="9">
    <w:name w:val="Balloon Text"/>
    <w:basedOn w:val="1"/>
    <w:link w:val="34"/>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99"/>
    <w:rPr>
      <w:color w:val="333333"/>
      <w:u w:val="none"/>
    </w:rPr>
  </w:style>
  <w:style w:type="character" w:customStyle="1" w:styleId="19">
    <w:name w:val="页眉 Char"/>
    <w:basedOn w:val="16"/>
    <w:link w:val="11"/>
    <w:qFormat/>
    <w:uiPriority w:val="99"/>
    <w:rPr>
      <w:sz w:val="18"/>
      <w:szCs w:val="18"/>
    </w:rPr>
  </w:style>
  <w:style w:type="character" w:customStyle="1" w:styleId="20">
    <w:name w:val="页脚 Char"/>
    <w:basedOn w:val="16"/>
    <w:link w:val="10"/>
    <w:qFormat/>
    <w:uiPriority w:val="99"/>
    <w:rPr>
      <w:sz w:val="18"/>
      <w:szCs w:val="18"/>
    </w:rPr>
  </w:style>
  <w:style w:type="character" w:customStyle="1" w:styleId="21">
    <w:name w:val="标题 2 Char"/>
    <w:basedOn w:val="16"/>
    <w:link w:val="2"/>
    <w:qFormat/>
    <w:uiPriority w:val="0"/>
    <w:rPr>
      <w:rFonts w:ascii="Arial" w:hAnsi="Arial" w:eastAsia="黑体" w:cs="Times New Roman"/>
      <w:b/>
      <w:sz w:val="32"/>
      <w:szCs w:val="20"/>
    </w:rPr>
  </w:style>
  <w:style w:type="character" w:customStyle="1" w:styleId="22">
    <w:name w:val="标题 3 Char"/>
    <w:basedOn w:val="16"/>
    <w:link w:val="3"/>
    <w:qFormat/>
    <w:uiPriority w:val="0"/>
    <w:rPr>
      <w:rFonts w:ascii="Times New Roman" w:hAnsi="Times New Roman" w:eastAsia="宋体" w:cs="Times New Roman"/>
      <w:b/>
      <w:bCs/>
      <w:sz w:val="32"/>
      <w:szCs w:val="32"/>
    </w:rPr>
  </w:style>
  <w:style w:type="paragraph" w:styleId="23">
    <w:name w:val="List Paragraph"/>
    <w:basedOn w:val="1"/>
    <w:qFormat/>
    <w:uiPriority w:val="34"/>
    <w:pPr>
      <w:ind w:firstLine="420" w:firstLineChars="200"/>
    </w:pPr>
  </w:style>
  <w:style w:type="character" w:customStyle="1" w:styleId="24">
    <w:name w:val="批注文字 Char1"/>
    <w:qFormat/>
    <w:uiPriority w:val="99"/>
    <w:rPr>
      <w:rFonts w:eastAsia="PMingLiU"/>
      <w:sz w:val="24"/>
      <w:lang w:eastAsia="zh-TW"/>
    </w:rPr>
  </w:style>
  <w:style w:type="character" w:customStyle="1" w:styleId="25">
    <w:name w:val="批注文字 Char"/>
    <w:basedOn w:val="16"/>
    <w:link w:val="4"/>
    <w:qFormat/>
    <w:uiPriority w:val="0"/>
    <w:rPr>
      <w:rFonts w:ascii="Times New Roman" w:hAnsi="Times New Roman" w:eastAsia="宋体" w:cs="Times New Roman"/>
      <w:sz w:val="28"/>
      <w:szCs w:val="20"/>
    </w:rPr>
  </w:style>
  <w:style w:type="character" w:customStyle="1" w:styleId="26">
    <w:name w:val="正文文本缩进 2 Char"/>
    <w:qFormat/>
    <w:uiPriority w:val="0"/>
    <w:rPr>
      <w:sz w:val="28"/>
    </w:rPr>
  </w:style>
  <w:style w:type="character" w:customStyle="1" w:styleId="27">
    <w:name w:val="正文文本缩进 2 Char1"/>
    <w:basedOn w:val="16"/>
    <w:link w:val="8"/>
    <w:semiHidden/>
    <w:qFormat/>
    <w:uiPriority w:val="99"/>
    <w:rPr>
      <w:rFonts w:ascii="Times New Roman" w:hAnsi="Times New Roman" w:eastAsia="宋体" w:cs="Times New Roman"/>
      <w:sz w:val="28"/>
      <w:szCs w:val="20"/>
    </w:rPr>
  </w:style>
  <w:style w:type="character" w:customStyle="1" w:styleId="28">
    <w:name w:val="正文文本 Char"/>
    <w:basedOn w:val="16"/>
    <w:link w:val="5"/>
    <w:qFormat/>
    <w:uiPriority w:val="99"/>
    <w:rPr>
      <w:rFonts w:ascii="Times New Roman" w:hAnsi="Times New Roman" w:eastAsia="宋体" w:cs="Times New Roman"/>
      <w:sz w:val="28"/>
      <w:szCs w:val="20"/>
    </w:rPr>
  </w:style>
  <w:style w:type="paragraph" w:customStyle="1" w:styleId="29">
    <w:name w:val="1"/>
    <w:basedOn w:val="1"/>
    <w:qFormat/>
    <w:uiPriority w:val="0"/>
    <w:rPr>
      <w:rFonts w:ascii="宋体" w:hAnsi="Courier New"/>
      <w:sz w:val="21"/>
    </w:rPr>
  </w:style>
  <w:style w:type="paragraph" w:customStyle="1" w:styleId="30">
    <w:name w:val="图例"/>
    <w:basedOn w:val="1"/>
    <w:qFormat/>
    <w:uiPriority w:val="0"/>
    <w:pPr>
      <w:spacing w:before="120" w:after="120" w:line="360" w:lineRule="auto"/>
      <w:jc w:val="center"/>
    </w:pPr>
    <w:rPr>
      <w:rFonts w:eastAsia="仿宋_GB2312"/>
      <w:b/>
      <w:sz w:val="24"/>
    </w:rPr>
  </w:style>
  <w:style w:type="character" w:customStyle="1" w:styleId="31">
    <w:name w:val="纯文本 Char"/>
    <w:basedOn w:val="16"/>
    <w:link w:val="6"/>
    <w:qFormat/>
    <w:uiPriority w:val="0"/>
    <w:rPr>
      <w:rFonts w:ascii="宋体" w:hAnsi="Courier New" w:eastAsia="宋体" w:cs="Times New Roman"/>
      <w:szCs w:val="20"/>
    </w:rPr>
  </w:style>
  <w:style w:type="character" w:customStyle="1" w:styleId="32">
    <w:name w:val="日期 Char"/>
    <w:qFormat/>
    <w:uiPriority w:val="0"/>
    <w:rPr>
      <w:sz w:val="28"/>
    </w:rPr>
  </w:style>
  <w:style w:type="character" w:customStyle="1" w:styleId="33">
    <w:name w:val="日期 Char1"/>
    <w:basedOn w:val="16"/>
    <w:link w:val="7"/>
    <w:semiHidden/>
    <w:qFormat/>
    <w:uiPriority w:val="99"/>
    <w:rPr>
      <w:rFonts w:ascii="Times New Roman" w:hAnsi="Times New Roman" w:eastAsia="宋体" w:cs="Times New Roman"/>
      <w:sz w:val="28"/>
      <w:szCs w:val="20"/>
    </w:rPr>
  </w:style>
  <w:style w:type="character" w:customStyle="1" w:styleId="34">
    <w:name w:val="批注框文本 Char"/>
    <w:basedOn w:val="16"/>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3524</Words>
  <Characters>20091</Characters>
  <Lines>167</Lines>
  <Paragraphs>47</Paragraphs>
  <TotalTime>16</TotalTime>
  <ScaleCrop>false</ScaleCrop>
  <LinksUpToDate>false</LinksUpToDate>
  <CharactersWithSpaces>23568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2021-01-13T09:02:00Z</dcterms:created>
  <dc:creator>bwkoy</dc:creator>
  <cp:lastModifiedBy>Administrator</cp:lastModifiedBy>
  <cp:lastPrinted>2021-01-13T02:51:00Z</cp:lastPrinted>
  <dcterms:modified xsi:type="dcterms:W3CDTF">2021-03-18T07:38:16Z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