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rFonts w:ascii="黑体" w:eastAsia="黑体"/>
          <w:sz w:val="32"/>
        </w:rPr>
      </w:pPr>
    </w:p>
    <w:p>
      <w:pPr>
        <w:spacing w:line="360" w:lineRule="auto"/>
        <w:ind w:firstLine="200"/>
        <w:jc w:val="center"/>
        <w:rPr>
          <w:rFonts w:ascii="方正小标宋_GBK" w:hAnsi="宋体" w:eastAsia="方正小标宋_GBK"/>
          <w:sz w:val="36"/>
          <w:szCs w:val="30"/>
        </w:rPr>
      </w:pPr>
    </w:p>
    <w:p>
      <w:pPr>
        <w:spacing w:line="360" w:lineRule="auto"/>
        <w:rPr>
          <w:rFonts w:ascii="方正小标宋_GBK" w:hAnsi="宋体" w:eastAsia="方正小标宋_GBK"/>
          <w:sz w:val="36"/>
          <w:szCs w:val="30"/>
        </w:rPr>
      </w:pPr>
      <w:r>
        <w:rPr>
          <w:rFonts w:hint="eastAsia" w:ascii="方正小标宋_GBK" w:hAnsi="宋体" w:eastAsia="方正小标宋_GBK"/>
          <w:sz w:val="36"/>
          <w:szCs w:val="30"/>
        </w:rPr>
        <w:t>磋商项目编号：</w:t>
      </w:r>
      <w:r>
        <w:rPr>
          <w:rFonts w:ascii="方正小标宋_GBK" w:hAnsi="宋体" w:eastAsia="方正小标宋_GBK"/>
          <w:sz w:val="36"/>
          <w:szCs w:val="30"/>
        </w:rPr>
        <w:t>20</w:t>
      </w:r>
      <w:r>
        <w:rPr>
          <w:rFonts w:hint="eastAsia" w:ascii="方正小标宋_GBK" w:hAnsi="宋体" w:eastAsia="方正小标宋_GBK"/>
          <w:sz w:val="36"/>
          <w:szCs w:val="30"/>
        </w:rPr>
        <w:t>21</w:t>
      </w:r>
      <w:r>
        <w:rPr>
          <w:rFonts w:ascii="方正小标宋_GBK" w:hAnsi="宋体" w:eastAsia="方正小标宋_GBK"/>
          <w:sz w:val="36"/>
          <w:szCs w:val="30"/>
        </w:rPr>
        <w:t>B0</w:t>
      </w:r>
      <w:r>
        <w:rPr>
          <w:rFonts w:hint="eastAsia" w:ascii="方正小标宋_GBK" w:hAnsi="宋体" w:eastAsia="方正小标宋_GBK"/>
          <w:sz w:val="36"/>
          <w:szCs w:val="30"/>
        </w:rPr>
        <w:t>02</w:t>
      </w:r>
    </w:p>
    <w:p>
      <w:pPr>
        <w:snapToGrid w:val="0"/>
        <w:spacing w:line="360" w:lineRule="atLeast"/>
        <w:ind w:left="-720" w:leftChars="-257" w:right="-445" w:rightChars="-159" w:firstLine="720" w:firstLineChars="200"/>
        <w:rPr>
          <w:rFonts w:ascii="方正小标宋_GBK" w:hAnsi="宋体" w:eastAsia="方正小标宋_GBK"/>
          <w:b/>
          <w:bCs/>
          <w:sz w:val="52"/>
          <w:szCs w:val="52"/>
        </w:rPr>
      </w:pPr>
      <w:r>
        <w:rPr>
          <w:rFonts w:hint="eastAsia" w:ascii="方正小标宋_GBK" w:hAnsi="宋体" w:eastAsia="方正小标宋_GBK"/>
          <w:sz w:val="36"/>
          <w:szCs w:val="30"/>
        </w:rPr>
        <w:t>项目名称： 江北区中医院电梯设备维护保养服务项目</w:t>
      </w:r>
    </w:p>
    <w:p>
      <w:pPr>
        <w:spacing w:line="700" w:lineRule="exact"/>
        <w:ind w:firstLine="1929" w:firstLineChars="536"/>
        <w:rPr>
          <w:rFonts w:ascii="方正小标宋_GBK" w:hAnsi="宋体" w:eastAsia="方正小标宋_GBK"/>
          <w:sz w:val="36"/>
          <w:szCs w:val="30"/>
        </w:rPr>
      </w:pPr>
    </w:p>
    <w:p>
      <w:pPr>
        <w:spacing w:line="700" w:lineRule="exact"/>
        <w:ind w:firstLine="1749" w:firstLineChars="486"/>
        <w:rPr>
          <w:rFonts w:ascii="方正小标宋_GBK" w:hAnsi="宋体" w:eastAsia="方正小标宋_GBK"/>
          <w:sz w:val="36"/>
          <w:szCs w:val="30"/>
        </w:rPr>
      </w:pPr>
    </w:p>
    <w:p>
      <w:pPr>
        <w:spacing w:line="700" w:lineRule="exact"/>
        <w:rPr>
          <w:rFonts w:ascii="方正小标宋_GBK" w:hAnsi="宋体" w:eastAsia="方正小标宋_GBK"/>
          <w:sz w:val="36"/>
          <w:szCs w:val="30"/>
        </w:rPr>
      </w:pPr>
      <w:r>
        <w:rPr>
          <w:rFonts w:hint="eastAsia" w:ascii="方正小标宋_GBK" w:hAnsi="宋体" w:eastAsia="方正小标宋_GBK"/>
          <w:sz w:val="36"/>
          <w:szCs w:val="30"/>
        </w:rPr>
        <w:t>采购人：重庆市江北区中医院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ind w:firstLine="4320" w:firstLineChars="900"/>
        <w:outlineLvl w:val="0"/>
        <w:rPr>
          <w:rFonts w:ascii="方正黑体_GBK" w:hAnsi="宋体" w:eastAsia="方正黑体_GBK"/>
          <w:sz w:val="48"/>
          <w:szCs w:val="32"/>
        </w:rPr>
      </w:pPr>
      <w:r>
        <w:rPr>
          <w:rFonts w:hint="eastAsia" w:ascii="方正黑体_GBK" w:hAnsi="宋体" w:eastAsia="方正黑体_GBK"/>
          <w:sz w:val="48"/>
          <w:szCs w:val="32"/>
        </w:rPr>
        <w:t>二0二一年一月</w:t>
      </w:r>
    </w:p>
    <w:p>
      <w:pPr>
        <w:spacing w:line="420" w:lineRule="exact"/>
        <w:jc w:val="center"/>
        <w:outlineLvl w:val="0"/>
        <w:rPr>
          <w:rFonts w:ascii="方正黑体_GBK" w:eastAsia="方正黑体_GBK"/>
          <w:sz w:val="44"/>
          <w:szCs w:val="28"/>
        </w:rPr>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rPr>
          <w:sz w:val="21"/>
          <w:szCs w:val="22"/>
        </w:rPr>
      </w:pPr>
      <w:r>
        <w:fldChar w:fldCharType="begin"/>
      </w:r>
      <w:r>
        <w:instrText xml:space="preserve"> HYPERLINK \l "_Toc12973744" </w:instrText>
      </w:r>
      <w:r>
        <w:fldChar w:fldCharType="separate"/>
      </w:r>
      <w:r>
        <w:rPr>
          <w:rStyle w:val="18"/>
          <w:rFonts w:hint="eastAsia" w:ascii="宋体" w:hAnsi="宋体" w:cs="仿宋"/>
          <w:b/>
          <w:bCs/>
          <w:color w:val="auto"/>
        </w:rPr>
        <w:t>第一篇</w:t>
      </w:r>
      <w:r>
        <w:rPr>
          <w:sz w:val="21"/>
          <w:szCs w:val="22"/>
        </w:rPr>
        <w:tab/>
      </w:r>
      <w:r>
        <w:rPr>
          <w:rStyle w:val="18"/>
          <w:rFonts w:hint="eastAsia" w:ascii="宋体" w:hAnsi="宋体" w:cs="仿宋"/>
          <w:b/>
          <w:bCs/>
          <w:color w:val="auto"/>
        </w:rPr>
        <w:t>投标邀请书</w:t>
      </w:r>
      <w:r>
        <w:tab/>
      </w:r>
      <w:r>
        <w:fldChar w:fldCharType="begin"/>
      </w:r>
      <w:r>
        <w:instrText xml:space="preserve"> PAGEREF _Toc12973744 \h </w:instrText>
      </w:r>
      <w:r>
        <w:fldChar w:fldCharType="separate"/>
      </w:r>
      <w:r>
        <w:rPr>
          <w:rFonts w:hint="eastAsia"/>
          <w:b/>
          <w:bCs/>
        </w:rPr>
        <w:t>3。</w:t>
      </w:r>
      <w:r>
        <w:fldChar w:fldCharType="end"/>
      </w:r>
      <w:r>
        <w:fldChar w:fldCharType="end"/>
      </w:r>
    </w:p>
    <w:p>
      <w:pPr>
        <w:pStyle w:val="12"/>
        <w:spacing w:line="480" w:lineRule="auto"/>
        <w:rPr>
          <w:sz w:val="21"/>
          <w:szCs w:val="22"/>
        </w:rPr>
      </w:pPr>
      <w:r>
        <w:fldChar w:fldCharType="begin"/>
      </w:r>
      <w:r>
        <w:instrText xml:space="preserve"> HYPERLINK \l "_Toc12973745" </w:instrText>
      </w:r>
      <w:r>
        <w:fldChar w:fldCharType="separate"/>
      </w:r>
      <w:r>
        <w:rPr>
          <w:rStyle w:val="18"/>
          <w:rFonts w:hint="eastAsia" w:ascii="宋体" w:hAnsi="宋体" w:cs="仿宋"/>
          <w:b/>
          <w:bCs/>
          <w:color w:val="auto"/>
        </w:rPr>
        <w:t>第二篇项目技术规格、数量及质量要求</w:t>
      </w:r>
      <w:r>
        <w:tab/>
      </w:r>
      <w:r>
        <w:rPr>
          <w:rFonts w:hint="eastAsia"/>
        </w:rPr>
        <w:t>6</w:t>
      </w:r>
      <w:r>
        <w:rPr>
          <w:rFonts w:hint="eastAsia"/>
        </w:rPr>
        <w:fldChar w:fldCharType="end"/>
      </w:r>
    </w:p>
    <w:p>
      <w:pPr>
        <w:pStyle w:val="12"/>
        <w:spacing w:line="480" w:lineRule="auto"/>
        <w:rPr>
          <w:sz w:val="21"/>
          <w:szCs w:val="22"/>
        </w:rPr>
      </w:pPr>
      <w:r>
        <w:fldChar w:fldCharType="begin"/>
      </w:r>
      <w:r>
        <w:instrText xml:space="preserve"> HYPERLINK \l "_Toc12973746" </w:instrText>
      </w:r>
      <w:r>
        <w:fldChar w:fldCharType="separate"/>
      </w:r>
      <w:r>
        <w:rPr>
          <w:rStyle w:val="18"/>
          <w:rFonts w:hint="eastAsia" w:ascii="宋体" w:hAnsi="宋体" w:cs="仿宋"/>
          <w:b/>
          <w:bCs/>
          <w:color w:val="auto"/>
        </w:rPr>
        <w:t>第三篇项目商务要求</w:t>
      </w:r>
      <w:r>
        <w:tab/>
      </w:r>
      <w:r>
        <w:rPr>
          <w:rFonts w:hint="eastAsia"/>
        </w:rPr>
        <w:t>13</w:t>
      </w:r>
      <w:r>
        <w:rPr>
          <w:rFonts w:hint="eastAsia"/>
        </w:rPr>
        <w:fldChar w:fldCharType="end"/>
      </w:r>
    </w:p>
    <w:p>
      <w:pPr>
        <w:pStyle w:val="12"/>
        <w:spacing w:line="480" w:lineRule="auto"/>
        <w:rPr>
          <w:sz w:val="21"/>
          <w:szCs w:val="22"/>
        </w:rPr>
      </w:pPr>
      <w:r>
        <w:fldChar w:fldCharType="begin"/>
      </w:r>
      <w:r>
        <w:instrText xml:space="preserve"> HYPERLINK \l "_Toc12973747" </w:instrText>
      </w:r>
      <w:r>
        <w:fldChar w:fldCharType="separate"/>
      </w:r>
      <w:r>
        <w:rPr>
          <w:rStyle w:val="18"/>
          <w:rFonts w:hint="eastAsia" w:ascii="宋体" w:hAnsi="宋体" w:cs="仿宋"/>
          <w:b/>
          <w:bCs/>
          <w:color w:val="auto"/>
        </w:rPr>
        <w:t>第四篇资格审查及</w:t>
      </w:r>
      <w:bookmarkStart w:id="0" w:name="_Hlt12973763"/>
      <w:r>
        <w:rPr>
          <w:rStyle w:val="18"/>
          <w:rFonts w:hint="eastAsia" w:ascii="宋体" w:hAnsi="宋体" w:cs="仿宋"/>
          <w:b/>
          <w:bCs/>
          <w:color w:val="auto"/>
        </w:rPr>
        <w:t>评</w:t>
      </w:r>
      <w:bookmarkEnd w:id="0"/>
      <w:r>
        <w:rPr>
          <w:rStyle w:val="18"/>
          <w:rFonts w:hint="eastAsia" w:ascii="宋体" w:hAnsi="宋体" w:cs="仿宋"/>
          <w:b/>
          <w:bCs/>
          <w:color w:val="auto"/>
        </w:rPr>
        <w:t>标办法</w:t>
      </w:r>
      <w:r>
        <w:tab/>
      </w:r>
      <w:r>
        <w:fldChar w:fldCharType="begin"/>
      </w:r>
      <w:r>
        <w:instrText xml:space="preserve"> PAGEREF _Toc12973747 \h </w:instrText>
      </w:r>
      <w:r>
        <w:fldChar w:fldCharType="separate"/>
      </w:r>
      <w:r>
        <w:t>14</w:t>
      </w:r>
      <w:r>
        <w:fldChar w:fldCharType="end"/>
      </w:r>
      <w:r>
        <w:fldChar w:fldCharType="end"/>
      </w:r>
    </w:p>
    <w:p>
      <w:pPr>
        <w:pStyle w:val="12"/>
        <w:spacing w:line="480" w:lineRule="auto"/>
        <w:rPr>
          <w:sz w:val="21"/>
          <w:szCs w:val="22"/>
        </w:rPr>
      </w:pPr>
      <w:r>
        <w:fldChar w:fldCharType="begin"/>
      </w:r>
      <w:r>
        <w:instrText xml:space="preserve"> HYPERLINK \l "_Toc12973748" </w:instrText>
      </w:r>
      <w:r>
        <w:fldChar w:fldCharType="separate"/>
      </w:r>
      <w:r>
        <w:rPr>
          <w:rStyle w:val="18"/>
          <w:rFonts w:hint="eastAsia" w:ascii="宋体" w:hAnsi="宋体" w:cs="仿宋"/>
          <w:b/>
          <w:bCs/>
          <w:color w:val="auto"/>
        </w:rPr>
        <w:t>第五篇投标人须知</w:t>
      </w:r>
      <w:r>
        <w:tab/>
      </w:r>
      <w:r>
        <w:rPr>
          <w:rFonts w:hint="eastAsia"/>
        </w:rPr>
        <w:t>20</w:t>
      </w:r>
      <w:r>
        <w:rPr>
          <w:rFonts w:hint="eastAsia"/>
        </w:rPr>
        <w:fldChar w:fldCharType="end"/>
      </w:r>
    </w:p>
    <w:p>
      <w:pPr>
        <w:pStyle w:val="12"/>
        <w:spacing w:line="480" w:lineRule="auto"/>
        <w:rPr>
          <w:sz w:val="21"/>
          <w:szCs w:val="22"/>
        </w:rPr>
      </w:pPr>
      <w:r>
        <w:fldChar w:fldCharType="begin"/>
      </w:r>
      <w:r>
        <w:instrText xml:space="preserve"> HYPERLINK \l "_Toc12973749" </w:instrText>
      </w:r>
      <w:r>
        <w:fldChar w:fldCharType="separate"/>
      </w:r>
      <w:r>
        <w:rPr>
          <w:rStyle w:val="18"/>
          <w:rFonts w:hint="eastAsia" w:ascii="宋体" w:hAnsi="宋体" w:cs="仿宋"/>
          <w:b/>
          <w:bCs/>
          <w:color w:val="auto"/>
        </w:rPr>
        <w:t>第六篇合同主要条款和格式合同（样本）</w:t>
      </w:r>
      <w:r>
        <w:tab/>
      </w:r>
      <w:r>
        <w:rPr>
          <w:rFonts w:hint="eastAsia"/>
        </w:rPr>
        <w:t>24</w:t>
      </w:r>
      <w:r>
        <w:rPr>
          <w:rFonts w:hint="eastAsia"/>
        </w:rPr>
        <w:fldChar w:fldCharType="end"/>
      </w:r>
    </w:p>
    <w:p>
      <w:pPr>
        <w:spacing w:line="420" w:lineRule="exact"/>
        <w:ind w:firstLine="280" w:firstLineChars="100"/>
        <w:outlineLvl w:val="0"/>
      </w:pPr>
      <w:r>
        <w:fldChar w:fldCharType="begin"/>
      </w:r>
      <w:r>
        <w:instrText xml:space="preserve"> HYPERLINK \l "_Toc12973750" </w:instrText>
      </w:r>
      <w:r>
        <w:fldChar w:fldCharType="separate"/>
      </w:r>
      <w:r>
        <w:rPr>
          <w:rStyle w:val="18"/>
          <w:rFonts w:hint="eastAsia" w:ascii="宋体" w:hAnsi="宋体" w:cs="仿宋"/>
          <w:b/>
          <w:bCs/>
          <w:color w:val="auto"/>
        </w:rPr>
        <w:t>第七篇投标文件格式</w:t>
      </w:r>
      <w:r>
        <w:rPr>
          <w:rStyle w:val="18"/>
          <w:rFonts w:ascii="宋体" w:hAnsi="宋体" w:cs="仿宋"/>
          <w:b/>
          <w:bCs/>
          <w:color w:val="auto"/>
        </w:rPr>
        <w:tab/>
      </w:r>
      <w:r>
        <w:rPr>
          <w:rStyle w:val="18"/>
          <w:rFonts w:ascii="宋体" w:hAnsi="宋体" w:cs="仿宋"/>
          <w:b/>
          <w:bCs/>
          <w:color w:val="auto"/>
        </w:rPr>
        <w:t>………………………………</w:t>
      </w:r>
      <w:r>
        <w:tab/>
      </w:r>
      <w:r>
        <w:rPr>
          <w:rFonts w:hint="eastAsia"/>
        </w:rPr>
        <w:t>27</w:t>
      </w:r>
      <w:r>
        <w:rPr>
          <w:rFonts w:hint="eastAsia"/>
        </w:rPr>
        <w:fldChar w:fldCharType="end"/>
      </w: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pStyle w:val="2"/>
        <w:spacing w:line="360" w:lineRule="auto"/>
        <w:jc w:val="center"/>
        <w:rPr>
          <w:rFonts w:ascii="方正小标宋_GBK" w:hAnsi="宋体" w:eastAsia="方正小标宋_GBK"/>
          <w:b w:val="0"/>
          <w:color w:val="000000"/>
          <w:sz w:val="36"/>
          <w:szCs w:val="30"/>
        </w:rPr>
      </w:pPr>
      <w:bookmarkStart w:id="1" w:name="_Toc12789052"/>
      <w:bookmarkStart w:id="2" w:name="_Toc415471815"/>
      <w:bookmarkStart w:id="3" w:name="_Toc11641050"/>
      <w:r>
        <w:rPr>
          <w:rFonts w:hint="eastAsia" w:ascii="方正小标宋_GBK" w:hAnsi="宋体" w:eastAsia="方正小标宋_GBK"/>
          <w:b w:val="0"/>
          <w:color w:val="000000"/>
          <w:sz w:val="36"/>
          <w:szCs w:val="30"/>
        </w:rPr>
        <w:t>第一篇  竞争性磋商邀请书</w:t>
      </w:r>
      <w:bookmarkEnd w:id="1"/>
      <w:bookmarkEnd w:id="2"/>
      <w:bookmarkEnd w:id="3"/>
    </w:p>
    <w:p>
      <w:pPr>
        <w:snapToGrid w:val="0"/>
        <w:spacing w:line="400" w:lineRule="exact"/>
        <w:ind w:firstLine="480" w:firstLineChars="200"/>
        <w:rPr>
          <w:rFonts w:ascii="黑体" w:hAnsi="宋体" w:eastAsia="黑体"/>
          <w:color w:val="000000"/>
          <w:sz w:val="24"/>
          <w:szCs w:val="24"/>
        </w:rPr>
      </w:pPr>
      <w:r>
        <w:rPr>
          <w:rFonts w:hint="eastAsia" w:ascii="黑体" w:hAnsi="黑体" w:eastAsia="黑体" w:cs="黑体"/>
          <w:color w:val="000000"/>
          <w:sz w:val="24"/>
          <w:szCs w:val="24"/>
        </w:rPr>
        <w:t>重庆市江北区中医院</w:t>
      </w:r>
      <w:r>
        <w:rPr>
          <w:rFonts w:hint="eastAsia" w:ascii="黑体" w:hAnsi="宋体" w:eastAsia="黑体"/>
          <w:color w:val="000000"/>
          <w:sz w:val="24"/>
          <w:szCs w:val="24"/>
        </w:rPr>
        <w:t>按照医院院长办公会下达的采购计划，对“电梯设备维护保养服务”项目进行竞争性磋商采购。欢迎有资格的供应商前来参加磋商。</w:t>
      </w:r>
    </w:p>
    <w:p>
      <w:pPr>
        <w:pStyle w:val="3"/>
        <w:spacing w:before="0" w:after="0" w:line="400" w:lineRule="exact"/>
        <w:rPr>
          <w:rFonts w:ascii="黑体" w:eastAsia="黑体"/>
          <w:color w:val="000000"/>
          <w:sz w:val="24"/>
          <w:szCs w:val="24"/>
        </w:rPr>
      </w:pPr>
      <w:bookmarkStart w:id="4" w:name="_Toc415471816"/>
      <w:bookmarkStart w:id="5" w:name="_Toc317775175"/>
      <w:bookmarkStart w:id="6" w:name="_Toc313893526"/>
      <w:r>
        <w:rPr>
          <w:rFonts w:hint="eastAsia" w:ascii="黑体" w:eastAsia="黑体"/>
          <w:color w:val="000000"/>
          <w:sz w:val="24"/>
          <w:szCs w:val="24"/>
        </w:rPr>
        <w:t>一、竞争性</w:t>
      </w:r>
      <w:r>
        <w:rPr>
          <w:rFonts w:hint="eastAsia" w:ascii="黑体" w:hAnsi="宋体" w:eastAsia="黑体"/>
          <w:color w:val="000000"/>
          <w:sz w:val="24"/>
          <w:szCs w:val="24"/>
        </w:rPr>
        <w:t>磋商</w:t>
      </w:r>
      <w:r>
        <w:rPr>
          <w:rFonts w:hint="eastAsia" w:ascii="黑体" w:eastAsia="黑体"/>
          <w:color w:val="000000"/>
          <w:sz w:val="24"/>
          <w:szCs w:val="24"/>
        </w:rPr>
        <w:t>内容</w:t>
      </w:r>
      <w:bookmarkEnd w:id="4"/>
      <w:bookmarkEnd w:id="5"/>
      <w:bookmarkEnd w:id="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60"/>
        <w:gridCol w:w="1420"/>
        <w:gridCol w:w="1140"/>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分包号</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分包名称</w:t>
            </w:r>
          </w:p>
        </w:tc>
        <w:tc>
          <w:tcPr>
            <w:tcW w:w="1420"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最高限价</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（万元/年）</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保证金</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（元）</w:t>
            </w:r>
          </w:p>
        </w:tc>
        <w:tc>
          <w:tcPr>
            <w:tcW w:w="3574"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color w:val="000000"/>
                <w:kern w:val="0"/>
                <w:sz w:val="21"/>
                <w:szCs w:val="24"/>
              </w:rPr>
            </w:pPr>
            <w:bookmarkStart w:id="7" w:name="_Hlk344477914"/>
            <w:r>
              <w:rPr>
                <w:rFonts w:hint="eastAsia" w:ascii="黑体" w:hAnsi="宋体" w:eastAsia="黑体" w:cs="宋体"/>
                <w:color w:val="000000"/>
                <w:kern w:val="0"/>
                <w:sz w:val="21"/>
                <w:szCs w:val="24"/>
              </w:rPr>
              <w:t>1</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黑体" w:eastAsia="黑体" w:cs="黑体"/>
                <w:color w:val="000000"/>
                <w:kern w:val="0"/>
                <w:sz w:val="21"/>
                <w:szCs w:val="24"/>
              </w:rPr>
            </w:pPr>
            <w:r>
              <w:rPr>
                <w:rFonts w:hint="eastAsia" w:ascii="黑体" w:hAnsi="宋体" w:eastAsia="黑体" w:cs="宋体"/>
                <w:b/>
                <w:bCs/>
                <w:color w:val="000000"/>
                <w:kern w:val="0"/>
                <w:sz w:val="21"/>
                <w:szCs w:val="24"/>
              </w:rPr>
              <w:t>本次拟对康复大楼8台扶梯、6台电梯维保服务</w:t>
            </w:r>
          </w:p>
        </w:tc>
        <w:tc>
          <w:tcPr>
            <w:tcW w:w="142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12．6360</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2000</w:t>
            </w:r>
          </w:p>
        </w:tc>
        <w:tc>
          <w:tcPr>
            <w:tcW w:w="3574" w:type="dxa"/>
            <w:tcBorders>
              <w:top w:val="single" w:color="auto" w:sz="4" w:space="0"/>
              <w:left w:val="single" w:color="auto" w:sz="4" w:space="0"/>
              <w:right w:val="single" w:color="auto" w:sz="4" w:space="0"/>
            </w:tcBorders>
          </w:tcPr>
          <w:p>
            <w:pPr>
              <w:jc w:val="center"/>
              <w:rPr>
                <w:rFonts w:ascii="黑体" w:hAnsi="宋体" w:eastAsia="黑体"/>
                <w:b/>
                <w:color w:val="000000"/>
                <w:sz w:val="21"/>
                <w:szCs w:val="21"/>
              </w:rPr>
            </w:pPr>
          </w:p>
        </w:tc>
      </w:tr>
      <w:bookmarkEnd w:id="7"/>
    </w:tbl>
    <w:p>
      <w:pPr>
        <w:pStyle w:val="3"/>
        <w:spacing w:before="0" w:after="0" w:line="400" w:lineRule="exact"/>
        <w:rPr>
          <w:rFonts w:ascii="黑体" w:eastAsia="黑体"/>
          <w:color w:val="000000"/>
          <w:sz w:val="24"/>
          <w:szCs w:val="24"/>
        </w:rPr>
      </w:pPr>
      <w:bookmarkStart w:id="8" w:name="_Toc415471817"/>
      <w:r>
        <w:rPr>
          <w:rFonts w:hint="eastAsia" w:ascii="黑体" w:eastAsia="黑体"/>
          <w:color w:val="000000"/>
          <w:sz w:val="24"/>
          <w:szCs w:val="24"/>
        </w:rPr>
        <w:t>二、资金来源</w:t>
      </w:r>
      <w:bookmarkEnd w:id="8"/>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单位自筹资金。</w:t>
      </w:r>
    </w:p>
    <w:p>
      <w:pPr>
        <w:pStyle w:val="3"/>
        <w:spacing w:before="0" w:after="0" w:line="400" w:lineRule="exact"/>
        <w:rPr>
          <w:rFonts w:ascii="黑体" w:eastAsia="黑体"/>
          <w:color w:val="000000"/>
          <w:sz w:val="24"/>
          <w:szCs w:val="24"/>
        </w:rPr>
      </w:pPr>
      <w:bookmarkStart w:id="9" w:name="_Toc415471818"/>
      <w:r>
        <w:rPr>
          <w:rFonts w:hint="eastAsia" w:ascii="黑体" w:eastAsia="黑体"/>
          <w:color w:val="000000"/>
          <w:sz w:val="24"/>
          <w:szCs w:val="24"/>
        </w:rPr>
        <w:t>三、</w:t>
      </w:r>
      <w:r>
        <w:rPr>
          <w:rFonts w:hint="eastAsia" w:ascii="黑体" w:hAnsi="宋体" w:eastAsia="黑体"/>
          <w:color w:val="000000"/>
          <w:sz w:val="24"/>
          <w:szCs w:val="24"/>
        </w:rPr>
        <w:t>磋商</w:t>
      </w:r>
      <w:r>
        <w:rPr>
          <w:rFonts w:hint="eastAsia" w:ascii="黑体" w:eastAsia="黑体"/>
          <w:color w:val="000000"/>
          <w:sz w:val="24"/>
          <w:szCs w:val="24"/>
        </w:rPr>
        <w:t>资格</w:t>
      </w:r>
      <w:bookmarkEnd w:id="9"/>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1、具有独立承担民事责任的能力；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2、具有良好的商业信誉和健全的财务会计制度；</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3、具有履行合同所必需的设备和专业技术能力；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4、有依法缴纳税收和社会保障资金的良好记录；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5、参加政府采购活动前三年内，在经营活动中没有重大违法记录；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6、法律、行政法规规定的其他条件。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1、投标人需具有特种设备安装改造维修许可证（A级）。</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2、本项目不接受联合体投标</w:t>
      </w:r>
      <w:bookmarkStart w:id="66" w:name="_GoBack"/>
      <w:bookmarkEnd w:id="66"/>
    </w:p>
    <w:p>
      <w:pPr>
        <w:pStyle w:val="3"/>
        <w:shd w:val="clear" w:color="auto" w:fill="FFFFFF"/>
        <w:spacing w:before="0" w:after="0" w:line="480" w:lineRule="exact"/>
        <w:rPr>
          <w:rFonts w:ascii="黑体" w:eastAsia="黑体"/>
          <w:color w:val="000000"/>
          <w:sz w:val="24"/>
          <w:szCs w:val="24"/>
        </w:rPr>
      </w:pPr>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有关说明</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（一）凡有意参加磋商的供应商，请于公告发布之日（</w:t>
      </w:r>
      <w:r>
        <w:rPr>
          <w:rFonts w:hint="eastAsia" w:ascii="黑体" w:hAnsi="宋体" w:eastAsia="黑体"/>
          <w:color w:val="000000"/>
          <w:sz w:val="24"/>
          <w:szCs w:val="24"/>
          <w:lang w:val="en-US" w:eastAsia="zh-CN"/>
        </w:rPr>
        <w:t>2021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18</w:t>
      </w:r>
      <w:r>
        <w:rPr>
          <w:rFonts w:hint="eastAsia" w:ascii="黑体" w:hAnsi="宋体" w:eastAsia="黑体"/>
          <w:color w:val="000000"/>
          <w:sz w:val="24"/>
          <w:szCs w:val="24"/>
        </w:rPr>
        <w:t xml:space="preserve"> 日）起至提交首次响应文件截止时间之前，</w:t>
      </w:r>
      <w:r>
        <w:rPr>
          <w:rFonts w:hint="eastAsia" w:ascii="黑体" w:hAnsi="宋体" w:eastAsia="黑体"/>
          <w:b/>
          <w:color w:val="0000FF"/>
          <w:sz w:val="24"/>
          <w:szCs w:val="24"/>
        </w:rPr>
        <w:t>自行在重庆市江北区中医院官网（http://www.jbzyy.com/）、重庆市行采家网址上（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下载本项目竞争性磋商文件以及图纸、补遗等磋商前公布的所有项目资料，无论供应商下载与否，均视为已知晓所有磋商实质性要求内容。</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（四）供应商须满足以下四种要件，其响应文件才被接受：</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按时缴纳了足额的投标保证金；</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按时按要求递交了响应文件；</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3.</w:t>
      </w:r>
      <w:r>
        <w:rPr>
          <w:rFonts w:hint="eastAsia" w:ascii="黑体" w:hAnsi="宋体" w:eastAsia="黑体"/>
          <w:color w:val="000000"/>
          <w:sz w:val="24"/>
          <w:szCs w:val="24"/>
        </w:rPr>
        <w:t>按时签到；</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4.</w:t>
      </w:r>
      <w:r>
        <w:rPr>
          <w:rFonts w:hint="eastAsia" w:ascii="黑体" w:hAnsi="宋体" w:eastAsia="黑体"/>
          <w:color w:val="000000"/>
          <w:sz w:val="24"/>
          <w:szCs w:val="24"/>
        </w:rPr>
        <w:t>按照磋商文件要求提供相关证明材料原件的。</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（五）磋商地点：重庆市江北区中医院康复大楼21楼会议室</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（六）提交响应文件开始时间：20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27</w:t>
      </w:r>
      <w:r>
        <w:rPr>
          <w:rFonts w:hint="eastAsia" w:ascii="黑体" w:hAnsi="宋体" w:eastAsia="黑体"/>
          <w:color w:val="000000"/>
          <w:sz w:val="24"/>
          <w:szCs w:val="24"/>
        </w:rPr>
        <w:t>日北京时间09:00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（七）提交响应文件截止时间：20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27</w:t>
      </w:r>
      <w:r>
        <w:rPr>
          <w:rFonts w:hint="eastAsia" w:ascii="黑体" w:hAnsi="宋体" w:eastAsia="黑体"/>
          <w:color w:val="000000"/>
          <w:sz w:val="24"/>
          <w:szCs w:val="24"/>
        </w:rPr>
        <w:t>日北京时间16:30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（八）磋商开始时间：20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28</w:t>
      </w:r>
      <w:r>
        <w:rPr>
          <w:rFonts w:hint="eastAsia" w:ascii="黑体" w:hAnsi="宋体" w:eastAsia="黑体"/>
          <w:color w:val="000000"/>
          <w:sz w:val="24"/>
          <w:szCs w:val="24"/>
        </w:rPr>
        <w:t>日北京时间</w:t>
      </w:r>
      <w:r>
        <w:rPr>
          <w:rFonts w:hint="eastAsia" w:ascii="黑体" w:hAnsi="宋体" w:eastAsia="黑体"/>
          <w:color w:val="000000"/>
          <w:sz w:val="24"/>
          <w:szCs w:val="24"/>
          <w:lang w:val="en-US" w:eastAsia="zh-CN"/>
        </w:rPr>
        <w:t>14</w:t>
      </w:r>
      <w:r>
        <w:rPr>
          <w:rFonts w:hint="eastAsia" w:ascii="黑体" w:hAnsi="宋体" w:eastAsia="黑体"/>
          <w:color w:val="000000"/>
          <w:sz w:val="24"/>
          <w:szCs w:val="24"/>
        </w:rPr>
        <w:t>:30</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九）评标时，供应商在磋商小组要求的时间内提供招标文件规定的特定资格证明文件原件备查，不能按时提供者视为无效投标。</w:t>
      </w:r>
    </w:p>
    <w:p>
      <w:pPr>
        <w:snapToGrid w:val="0"/>
        <w:spacing w:line="56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（十）磋商报价包括完成本项目所需的设备或货物购买（制造）费、辅材费、运输费、装卸费、安装调试费、</w:t>
      </w:r>
      <w:r>
        <w:rPr>
          <w:rFonts w:hint="eastAsia" w:ascii="方正仿宋_GBK" w:hAnsi="方正仿宋_GBK" w:eastAsia="方正仿宋_GBK" w:cs="方正仿宋_GBK"/>
          <w:color w:val="000000"/>
          <w:szCs w:val="28"/>
        </w:rPr>
        <w:t>5</w:t>
      </w:r>
      <w:r>
        <w:rPr>
          <w:rFonts w:ascii="黑体" w:hAnsi="宋体" w:eastAsia="黑体"/>
          <w:color w:val="000000"/>
          <w:sz w:val="24"/>
          <w:szCs w:val="24"/>
        </w:rPr>
        <w:t>00</w:t>
      </w:r>
      <w:r>
        <w:rPr>
          <w:rFonts w:hint="eastAsia" w:ascii="黑体" w:hAnsi="宋体" w:eastAsia="黑体"/>
          <w:color w:val="000000"/>
          <w:sz w:val="24"/>
          <w:szCs w:val="24"/>
        </w:rPr>
        <w:t>元以下的零部件不收材料费及人工费培训费和各种应纳的税费。因供应商自身原因造成漏报、少报皆由其自行承担责任，采购人不再补偿。</w:t>
      </w:r>
    </w:p>
    <w:p>
      <w:pPr>
        <w:pStyle w:val="3"/>
        <w:shd w:val="clear" w:color="auto" w:fill="FFFFFF"/>
        <w:spacing w:before="0" w:after="0" w:line="380" w:lineRule="exact"/>
        <w:rPr>
          <w:rFonts w:ascii="黑体" w:eastAsia="黑体"/>
          <w:color w:val="000000"/>
          <w:sz w:val="24"/>
          <w:szCs w:val="24"/>
        </w:rPr>
      </w:pPr>
      <w:bookmarkStart w:id="10" w:name="_Toc373860294"/>
      <w:bookmarkStart w:id="11" w:name="_Toc415471820"/>
      <w:r>
        <w:rPr>
          <w:rFonts w:hint="eastAsia" w:ascii="黑体" w:eastAsia="黑体"/>
          <w:color w:val="000000"/>
          <w:sz w:val="24"/>
          <w:szCs w:val="24"/>
        </w:rPr>
        <w:t>五、保证金</w:t>
      </w:r>
      <w:bookmarkEnd w:id="10"/>
      <w:bookmarkEnd w:id="11"/>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（一）磋商保证金缴纳金额：2</w:t>
      </w:r>
      <w:r>
        <w:rPr>
          <w:rFonts w:ascii="黑体" w:hAnsi="宋体" w:eastAsia="黑体"/>
          <w:color w:val="000000"/>
          <w:sz w:val="24"/>
          <w:szCs w:val="24"/>
        </w:rPr>
        <w:t>000</w:t>
      </w:r>
      <w:r>
        <w:rPr>
          <w:rFonts w:hint="eastAsia" w:ascii="黑体" w:hAnsi="宋体" w:eastAsia="黑体"/>
          <w:color w:val="000000"/>
          <w:sz w:val="24"/>
          <w:szCs w:val="24"/>
        </w:rPr>
        <w:t>元</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（二）缴纳保证金方式：银行转帐</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供应商须按本项目规定的保证金金额进行缴纳，保证金的到账截止时间为磋商当天上午</w:t>
      </w:r>
      <w:r>
        <w:rPr>
          <w:rFonts w:ascii="黑体" w:hAnsi="宋体" w:eastAsia="黑体"/>
          <w:color w:val="000000"/>
          <w:sz w:val="24"/>
          <w:szCs w:val="24"/>
        </w:rPr>
        <w:t>9:00</w:t>
      </w:r>
      <w:r>
        <w:rPr>
          <w:rFonts w:hint="eastAsia" w:ascii="黑体" w:hAnsi="宋体" w:eastAsia="黑体"/>
          <w:color w:val="000000"/>
          <w:sz w:val="24"/>
          <w:szCs w:val="24"/>
        </w:rPr>
        <w:t>。</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保证金账户</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户名：重庆市江北区中医院</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开户行：建设银行江北蔚蓝世纪支行</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账号：</w:t>
      </w:r>
      <w:r>
        <w:rPr>
          <w:rFonts w:ascii="黑体" w:hAnsi="宋体" w:eastAsia="黑体"/>
          <w:color w:val="000000"/>
          <w:sz w:val="24"/>
          <w:szCs w:val="24"/>
        </w:rPr>
        <w:t>50001064000050001684</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各供应商在银行转账（电汇）时，须充分考虑银行转账（电汇）的时间差风险，如同城转账、异地转账或汇款、跨行转账或电汇的时间要求。</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开标前各供应商必须现场递交投标保证金付款单复印件或者收据（原件备查）。</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（三）保证金退还方式</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未中标供应商的保证金，在中标通知书发放后，五个工作日内按来款渠道直接退还。</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中标人的投标保证金，在中标人与采购人签订合同后，五个工作日内按资金来款渠道直接退还。</w:t>
      </w:r>
    </w:p>
    <w:p>
      <w:pPr>
        <w:snapToGrid w:val="0"/>
        <w:spacing w:line="380" w:lineRule="exact"/>
        <w:ind w:firstLine="241" w:firstLineChars="100"/>
        <w:rPr>
          <w:rFonts w:ascii="黑体" w:hAnsi="宋体" w:eastAsia="黑体"/>
          <w:b/>
          <w:bCs/>
          <w:sz w:val="24"/>
          <w:szCs w:val="24"/>
        </w:rPr>
      </w:pPr>
      <w:r>
        <w:rPr>
          <w:rFonts w:hint="eastAsia" w:ascii="黑体" w:hAnsi="宋体" w:eastAsia="黑体"/>
          <w:b/>
          <w:bCs/>
          <w:sz w:val="24"/>
          <w:szCs w:val="24"/>
        </w:rPr>
        <w:t>六、其它有关规定</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sz w:val="24"/>
          <w:szCs w:val="24"/>
        </w:rPr>
        <w:t>1、法定代表人为同</w:t>
      </w:r>
      <w:r>
        <w:rPr>
          <w:rFonts w:hint="eastAsia" w:ascii="黑体" w:hAnsi="宋体" w:eastAsia="黑体"/>
          <w:color w:val="000000"/>
          <w:sz w:val="24"/>
          <w:szCs w:val="24"/>
        </w:rPr>
        <w:t>一个人的两个及两个以上法人，母公司、全资子公司及其控股公司，都不得在同一分包的货物采购中同时参与磋商，否则均为无效磋商。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2、单个分包为单一货物的，一个制造商对同一品牌同一规格型号的货物，仅能委托一个代理商参加该分包的磋商，否则为无效磋商。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3、同一分包的货物，制造商参与磋商的，不得再委托代理商参与磋商，否则为无效磋商。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4、本项目在响应文件提交截止时间前发布的竞争性磋商文件及补遗文件（如果有）一律在</w:t>
      </w:r>
      <w:r>
        <w:rPr>
          <w:rFonts w:hint="eastAsia" w:ascii="黑体" w:hAnsi="宋体" w:eastAsia="黑体"/>
          <w:b/>
          <w:color w:val="0000FF"/>
          <w:sz w:val="24"/>
          <w:szCs w:val="24"/>
        </w:rPr>
        <w:t>自行在重庆市江北区中医院官网（http://www.jbzyy.com/）、重庆市行采家网址上（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上发布，请各供应商注意下载；无论供应商下载与否，均视同供应商已知晓本项目竞争性磋商文件、补遗文件（如果有）的内容。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5、超过响应文件截止时间递交的响应文件，恕不接收。</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6、不接受联合体招标。</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7、磋商费用：无论磋商结果如何，供应商参与本项目磋商的所有费用均应由供应商自行承担。</w:t>
      </w:r>
    </w:p>
    <w:p>
      <w:pPr>
        <w:pStyle w:val="3"/>
        <w:spacing w:before="0" w:after="0" w:line="380" w:lineRule="exact"/>
        <w:rPr>
          <w:rFonts w:ascii="黑体" w:hAnsi="宋体" w:eastAsia="黑体"/>
          <w:color w:val="000000"/>
          <w:sz w:val="24"/>
          <w:szCs w:val="24"/>
        </w:rPr>
      </w:pPr>
      <w:bookmarkStart w:id="12" w:name="_Toc415471822"/>
      <w:r>
        <w:rPr>
          <w:rFonts w:hint="eastAsia" w:ascii="黑体" w:hAnsi="宋体" w:eastAsia="黑体"/>
          <w:color w:val="000000"/>
          <w:sz w:val="24"/>
          <w:szCs w:val="24"/>
        </w:rPr>
        <w:t>七、联系方式</w:t>
      </w:r>
      <w:bookmarkEnd w:id="12"/>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联系人：欧阳老师  尚老师</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电话：</w:t>
      </w:r>
      <w:r>
        <w:rPr>
          <w:rFonts w:ascii="黑体" w:hAnsi="宋体" w:eastAsia="黑体"/>
          <w:color w:val="000000"/>
          <w:sz w:val="24"/>
          <w:szCs w:val="24"/>
        </w:rPr>
        <w:t>67739723    67</w:t>
      </w:r>
      <w:r>
        <w:rPr>
          <w:rFonts w:hint="eastAsia" w:ascii="黑体" w:hAnsi="宋体" w:eastAsia="黑体"/>
          <w:color w:val="000000"/>
          <w:sz w:val="24"/>
          <w:szCs w:val="24"/>
        </w:rPr>
        <w:t>561932</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地址：重庆市江北区建新东路一村</w:t>
      </w:r>
      <w:r>
        <w:rPr>
          <w:rFonts w:ascii="黑体" w:hAnsi="宋体" w:eastAsia="黑体"/>
          <w:color w:val="000000"/>
          <w:sz w:val="24"/>
          <w:szCs w:val="24"/>
        </w:rPr>
        <w:t>35</w:t>
      </w:r>
      <w:r>
        <w:rPr>
          <w:rFonts w:hint="eastAsia" w:ascii="黑体" w:hAnsi="宋体" w:eastAsia="黑体"/>
          <w:color w:val="000000"/>
          <w:sz w:val="24"/>
          <w:szCs w:val="24"/>
        </w:rPr>
        <w:t>号</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（二）关于现场踏勘</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集中踏勘现场时间：20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22</w:t>
      </w:r>
      <w:r>
        <w:rPr>
          <w:rFonts w:hint="eastAsia" w:ascii="黑体" w:hAnsi="宋体" w:eastAsia="黑体"/>
          <w:color w:val="000000"/>
          <w:sz w:val="24"/>
          <w:szCs w:val="24"/>
        </w:rPr>
        <w:t>日上午10点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联系人：尚老师  </w:t>
      </w:r>
    </w:p>
    <w:p>
      <w:pPr>
        <w:snapToGrid w:val="0"/>
        <w:spacing w:line="380" w:lineRule="exact"/>
        <w:ind w:firstLine="480" w:firstLineChars="200"/>
        <w:rPr>
          <w:rFonts w:ascii="方正仿宋_GBK" w:hAnsi="宋体" w:eastAsia="方正仿宋_GBK"/>
          <w:color w:val="000000"/>
          <w:sz w:val="24"/>
          <w:szCs w:val="24"/>
        </w:rPr>
        <w:sectPr>
          <w:headerReference r:id="rId3" w:type="default"/>
          <w:footerReference r:id="rId4" w:type="default"/>
          <w:pgSz w:w="11907" w:h="16840"/>
          <w:pgMar w:top="1134" w:right="1418" w:bottom="1134" w:left="1418" w:header="964" w:footer="992" w:gutter="0"/>
          <w:cols w:space="720" w:num="1"/>
          <w:docGrid w:linePitch="312" w:charSpace="0"/>
        </w:sectPr>
      </w:pPr>
      <w:r>
        <w:rPr>
          <w:rFonts w:hint="eastAsia" w:ascii="黑体" w:hAnsi="宋体" w:eastAsia="黑体"/>
          <w:color w:val="000000"/>
          <w:sz w:val="24"/>
          <w:szCs w:val="24"/>
        </w:rPr>
        <w:t>联系电话：（023）</w:t>
      </w:r>
      <w:r>
        <w:rPr>
          <w:rFonts w:ascii="黑体" w:hAnsi="宋体" w:eastAsia="黑体"/>
          <w:color w:val="000000"/>
          <w:sz w:val="24"/>
          <w:szCs w:val="24"/>
        </w:rPr>
        <w:t>67</w:t>
      </w:r>
      <w:r>
        <w:rPr>
          <w:rFonts w:hint="eastAsia" w:ascii="黑体" w:hAnsi="宋体" w:eastAsia="黑体"/>
          <w:color w:val="000000"/>
          <w:sz w:val="24"/>
          <w:szCs w:val="24"/>
        </w:rPr>
        <w:t>561932</w:t>
      </w:r>
    </w:p>
    <w:p>
      <w:pPr>
        <w:jc w:val="center"/>
        <w:rPr>
          <w:rFonts w:ascii="黑体" w:hAnsi="宋体"/>
          <w:b/>
          <w:color w:val="000000"/>
          <w:sz w:val="36"/>
          <w:szCs w:val="30"/>
        </w:rPr>
      </w:pPr>
      <w:r>
        <w:rPr>
          <w:rFonts w:hint="eastAsia" w:ascii="宋体" w:hAnsi="宋体" w:cs="仿宋"/>
          <w:b/>
          <w:bCs/>
          <w:sz w:val="36"/>
          <w:szCs w:val="36"/>
        </w:rPr>
        <w:t xml:space="preserve">第二篇  </w:t>
      </w:r>
      <w:r>
        <w:rPr>
          <w:rFonts w:hint="eastAsia" w:ascii="黑体" w:hAnsi="宋体"/>
          <w:b/>
          <w:color w:val="000000"/>
          <w:sz w:val="36"/>
          <w:szCs w:val="30"/>
        </w:rPr>
        <w:t>磋商项目服务需求</w:t>
      </w:r>
    </w:p>
    <w:p>
      <w:pPr>
        <w:pStyle w:val="23"/>
        <w:numPr>
          <w:ilvl w:val="0"/>
          <w:numId w:val="1"/>
        </w:numPr>
        <w:spacing w:line="360" w:lineRule="auto"/>
        <w:ind w:firstLineChars="0"/>
        <w:rPr>
          <w:b/>
          <w:sz w:val="24"/>
          <w:szCs w:val="24"/>
        </w:rPr>
      </w:pPr>
      <w:bookmarkStart w:id="13" w:name="_Toc10103717"/>
      <w:bookmarkStart w:id="14" w:name="_Toc453767293"/>
      <w:r>
        <w:rPr>
          <w:rFonts w:hint="eastAsia"/>
          <w:b/>
          <w:sz w:val="24"/>
          <w:szCs w:val="24"/>
        </w:rPr>
        <w:t>招标项目一览表</w:t>
      </w:r>
      <w:bookmarkEnd w:id="13"/>
      <w:bookmarkEnd w:id="14"/>
    </w:p>
    <w:p>
      <w:pPr>
        <w:ind w:left="142"/>
        <w:rPr>
          <w:b/>
          <w:bCs/>
          <w:color w:val="000000"/>
          <w:sz w:val="24"/>
          <w:szCs w:val="24"/>
        </w:rPr>
      </w:pPr>
      <w:r>
        <w:rPr>
          <w:rFonts w:hint="eastAsia"/>
          <w:b/>
          <w:bCs/>
          <w:color w:val="000000"/>
          <w:sz w:val="24"/>
          <w:szCs w:val="24"/>
        </w:rPr>
        <w:t>（一）设备情况</w:t>
      </w:r>
    </w:p>
    <w:p>
      <w:pPr>
        <w:pStyle w:val="23"/>
        <w:spacing w:line="360" w:lineRule="auto"/>
        <w:ind w:left="510" w:firstLine="0" w:firstLineChars="0"/>
        <w:rPr>
          <w:b/>
          <w:sz w:val="24"/>
          <w:szCs w:val="24"/>
        </w:rPr>
      </w:pPr>
    </w:p>
    <w:p>
      <w:pPr>
        <w:rPr>
          <w:rFonts w:ascii="黑体" w:hAnsi="宋体" w:eastAsia="黑体"/>
          <w:b/>
          <w:color w:val="000000"/>
          <w:sz w:val="24"/>
          <w:szCs w:val="24"/>
        </w:rPr>
      </w:pPr>
      <w:r>
        <w:rPr>
          <w:rFonts w:hint="eastAsia" w:ascii="黑体" w:hAnsi="宋体" w:eastAsia="黑体"/>
          <w:b/>
          <w:color w:val="000000"/>
          <w:sz w:val="24"/>
          <w:szCs w:val="24"/>
        </w:rPr>
        <w:t>（二）维保执行规范及具体要求</w:t>
      </w:r>
    </w:p>
    <w:p>
      <w:pPr>
        <w:spacing w:line="276" w:lineRule="auto"/>
        <w:rPr>
          <w:rFonts w:ascii="黑体" w:hAnsi="宋体" w:eastAsia="黑体"/>
          <w:b/>
          <w:color w:val="000000"/>
          <w:sz w:val="24"/>
          <w:szCs w:val="24"/>
        </w:rPr>
      </w:pPr>
    </w:p>
    <w:tbl>
      <w:tblPr>
        <w:tblStyle w:val="14"/>
        <w:tblW w:w="11105" w:type="dxa"/>
        <w:tblInd w:w="-894" w:type="dxa"/>
        <w:tblLayout w:type="fixed"/>
        <w:tblCellMar>
          <w:top w:w="0" w:type="dxa"/>
          <w:left w:w="108" w:type="dxa"/>
          <w:bottom w:w="0" w:type="dxa"/>
          <w:right w:w="108" w:type="dxa"/>
        </w:tblCellMar>
      </w:tblPr>
      <w:tblGrid>
        <w:gridCol w:w="851"/>
        <w:gridCol w:w="851"/>
        <w:gridCol w:w="992"/>
        <w:gridCol w:w="1418"/>
        <w:gridCol w:w="2126"/>
        <w:gridCol w:w="709"/>
        <w:gridCol w:w="1275"/>
        <w:gridCol w:w="851"/>
        <w:gridCol w:w="709"/>
        <w:gridCol w:w="1323"/>
      </w:tblGrid>
      <w:tr>
        <w:tblPrEx>
          <w:tblCellMar>
            <w:top w:w="0" w:type="dxa"/>
            <w:left w:w="108" w:type="dxa"/>
            <w:bottom w:w="0" w:type="dxa"/>
            <w:right w:w="108" w:type="dxa"/>
          </w:tblCellMar>
        </w:tblPrEx>
        <w:trPr>
          <w:trHeight w:val="8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序号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自编号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设备类型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生产厂商</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规格型号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楼层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速度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使用年限</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服务方式</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single" w:color="000000" w:sz="8" w:space="0"/>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PW18/25-19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2.5m/s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TravelMasterTM110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E2</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E3</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E4</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E5</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E6</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E7</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E8</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杂1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货梯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哈尔滨达鑫电梯有限公司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DXTW100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bl>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r>
        <w:rPr>
          <w:rFonts w:hint="eastAsia" w:ascii="黑体" w:hAnsi="宋体" w:eastAsia="黑体"/>
          <w:b/>
          <w:color w:val="000000"/>
          <w:sz w:val="24"/>
          <w:szCs w:val="24"/>
        </w:rPr>
        <w:t>电梯维保执行依据：</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（1）《中华人民共和国特种作业设备安全法》</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（2）《特种设备安全监察条例（国务院第549号令）》</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（4）《电梯制造与安装安全规范》（GB7588-2003)</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（5）《电梯使用与维护保养规则》TSGT5002-2017</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（6）《电梯维修规范》GB  T 18775 一2002</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w:t>
      </w:r>
      <w:r>
        <w:rPr>
          <w:rFonts w:ascii="黑体" w:hAnsi="宋体" w:eastAsia="黑体"/>
          <w:color w:val="000000"/>
          <w:sz w:val="24"/>
          <w:szCs w:val="24"/>
        </w:rPr>
        <w:t>其他相关适用法律法规的规定；</w:t>
      </w:r>
    </w:p>
    <w:p>
      <w:pPr>
        <w:spacing w:line="360" w:lineRule="auto"/>
        <w:rPr>
          <w:b/>
          <w:sz w:val="24"/>
        </w:rPr>
      </w:pPr>
      <w:r>
        <w:rPr>
          <w:rFonts w:hint="eastAsia"/>
          <w:b/>
          <w:sz w:val="24"/>
        </w:rPr>
        <w:t>（三）维保要求： </w:t>
      </w:r>
    </w:p>
    <w:p>
      <w:pPr>
        <w:spacing w:line="360" w:lineRule="auto"/>
        <w:rPr>
          <w:rFonts w:ascii="黑体" w:hAnsi="宋体" w:eastAsia="黑体"/>
          <w:color w:val="000000"/>
          <w:sz w:val="24"/>
          <w:szCs w:val="24"/>
        </w:rPr>
      </w:pPr>
      <w:r>
        <w:rPr>
          <w:rFonts w:hint="eastAsia" w:ascii="黑体" w:hAnsi="宋体" w:eastAsia="黑体"/>
          <w:color w:val="000000"/>
          <w:sz w:val="24"/>
          <w:szCs w:val="24"/>
        </w:rPr>
        <w:t>（一）指派受过专业培训、有资质的技术人员，根据国家技监局规定，每月至少2次，每次间隔不超过15天，对电梯进行日常维保、检修等服务。其主要工作范围如下：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1、根据国家规定、行业技术要求进行电梯维保。</w:t>
      </w:r>
    </w:p>
    <w:p>
      <w:pPr>
        <w:spacing w:line="360" w:lineRule="auto"/>
        <w:rPr>
          <w:rFonts w:ascii="黑体" w:hAnsi="宋体" w:eastAsia="黑体"/>
          <w:color w:val="000000"/>
          <w:sz w:val="24"/>
          <w:szCs w:val="24"/>
        </w:rPr>
      </w:pPr>
      <w:r>
        <w:rPr>
          <w:rFonts w:hint="eastAsia" w:ascii="黑体" w:hAnsi="宋体" w:eastAsia="黑体"/>
          <w:color w:val="000000"/>
          <w:sz w:val="24"/>
          <w:szCs w:val="24"/>
        </w:rPr>
        <w:t>2、安装国家特种设备管理要求进行管理、维护、保养并提交相关原始档案（如：半月维保项目、半年维保项目、年度维保项目等）。</w:t>
      </w:r>
    </w:p>
    <w:p>
      <w:pPr>
        <w:spacing w:line="360" w:lineRule="auto"/>
        <w:rPr>
          <w:rFonts w:ascii="黑体" w:hAnsi="宋体" w:eastAsia="黑体"/>
          <w:color w:val="000000"/>
          <w:sz w:val="24"/>
          <w:szCs w:val="24"/>
        </w:rPr>
      </w:pPr>
      <w:r>
        <w:rPr>
          <w:rFonts w:hint="eastAsia" w:ascii="黑体" w:hAnsi="宋体" w:eastAsia="黑体"/>
          <w:color w:val="000000"/>
          <w:sz w:val="24"/>
          <w:szCs w:val="24"/>
        </w:rPr>
        <w:t>3、确保原厂电梯配件的及时供给，并执行润滑工作。 </w:t>
      </w:r>
    </w:p>
    <w:p>
      <w:pPr>
        <w:spacing w:line="360" w:lineRule="auto"/>
        <w:rPr>
          <w:rFonts w:ascii="黑体" w:hAnsi="宋体" w:eastAsia="黑体"/>
          <w:color w:val="000000"/>
          <w:sz w:val="24"/>
          <w:szCs w:val="24"/>
        </w:rPr>
      </w:pPr>
      <w:r>
        <w:rPr>
          <w:rFonts w:hint="eastAsia" w:ascii="黑体" w:hAnsi="宋体" w:eastAsia="黑体"/>
          <w:color w:val="000000"/>
          <w:sz w:val="24"/>
          <w:szCs w:val="24"/>
        </w:rPr>
        <w:t>4、保养加油及调整下列各项设备：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（1）机房内之曳引机、电动机、控制柜及限速器等。 </w:t>
      </w:r>
    </w:p>
    <w:p>
      <w:pPr>
        <w:spacing w:line="360" w:lineRule="auto"/>
        <w:rPr>
          <w:rFonts w:ascii="黑体" w:hAnsi="宋体" w:eastAsia="黑体"/>
          <w:color w:val="000000"/>
          <w:sz w:val="24"/>
          <w:szCs w:val="24"/>
        </w:rPr>
      </w:pPr>
      <w:r>
        <w:rPr>
          <w:rFonts w:hint="eastAsia" w:ascii="黑体" w:hAnsi="宋体" w:eastAsia="黑体"/>
          <w:color w:val="000000"/>
          <w:sz w:val="24"/>
          <w:szCs w:val="24"/>
        </w:rPr>
        <w:t>（2）轿厢顶上之一切安全装置。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（3）井道内之导轨、对重、缓冲器、保险装置、极限开关及有关安全装置。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5、保持导轨适当之润滑，使导靴运行正常。 </w:t>
      </w:r>
    </w:p>
    <w:p>
      <w:pPr>
        <w:spacing w:line="360" w:lineRule="auto"/>
        <w:rPr>
          <w:rFonts w:ascii="黑体" w:hAnsi="宋体" w:eastAsia="黑体"/>
          <w:color w:val="000000"/>
          <w:sz w:val="24"/>
          <w:szCs w:val="24"/>
        </w:rPr>
      </w:pPr>
      <w:r>
        <w:rPr>
          <w:rFonts w:hint="eastAsia" w:ascii="黑体" w:hAnsi="宋体" w:eastAsia="黑体"/>
          <w:color w:val="000000"/>
          <w:sz w:val="24"/>
          <w:szCs w:val="24"/>
        </w:rPr>
        <w:t>6、检查及平衡曳引机钢丝绳之张力。 </w:t>
      </w:r>
    </w:p>
    <w:p>
      <w:pPr>
        <w:spacing w:line="360" w:lineRule="auto"/>
        <w:rPr>
          <w:rFonts w:ascii="黑体" w:hAnsi="宋体" w:eastAsia="黑体"/>
          <w:color w:val="000000"/>
          <w:sz w:val="24"/>
          <w:szCs w:val="24"/>
        </w:rPr>
      </w:pPr>
      <w:r>
        <w:rPr>
          <w:rFonts w:hint="eastAsia" w:ascii="黑体" w:hAnsi="宋体" w:eastAsia="黑体"/>
          <w:color w:val="000000"/>
          <w:sz w:val="24"/>
          <w:szCs w:val="24"/>
        </w:rPr>
        <w:t>7、定期检修限速器，安全钳及各项安全装置，且每年作一次例行安全实验。 </w:t>
      </w:r>
    </w:p>
    <w:p>
      <w:pPr>
        <w:spacing w:line="360" w:lineRule="auto"/>
        <w:rPr>
          <w:rFonts w:ascii="黑体" w:hAnsi="宋体" w:eastAsia="黑体"/>
          <w:color w:val="000000"/>
          <w:sz w:val="24"/>
          <w:szCs w:val="24"/>
        </w:rPr>
      </w:pPr>
      <w:r>
        <w:rPr>
          <w:rFonts w:hint="eastAsia" w:ascii="黑体" w:hAnsi="宋体" w:eastAsia="黑体"/>
          <w:color w:val="000000"/>
          <w:sz w:val="24"/>
          <w:szCs w:val="24"/>
        </w:rPr>
        <w:t>8、维修保养质量按有关部门检验标准执行。 </w:t>
      </w:r>
    </w:p>
    <w:p>
      <w:pPr>
        <w:spacing w:line="360" w:lineRule="auto"/>
        <w:rPr>
          <w:rFonts w:ascii="黑体" w:hAnsi="宋体" w:eastAsia="黑体"/>
          <w:color w:val="000000"/>
          <w:sz w:val="24"/>
          <w:szCs w:val="24"/>
        </w:rPr>
      </w:pPr>
      <w:r>
        <w:rPr>
          <w:rFonts w:hint="eastAsia" w:ascii="黑体" w:hAnsi="宋体" w:eastAsia="黑体"/>
          <w:color w:val="000000"/>
          <w:sz w:val="24"/>
          <w:szCs w:val="24"/>
        </w:rPr>
        <w:t>9、在维保过程中发现自然磨损需要更换的配件，应主动进行更换且必须是原装配件。 </w:t>
      </w:r>
    </w:p>
    <w:p>
      <w:pPr>
        <w:spacing w:line="360" w:lineRule="auto"/>
        <w:rPr>
          <w:rFonts w:ascii="黑体" w:hAnsi="宋体" w:eastAsia="黑体"/>
          <w:color w:val="000000"/>
          <w:sz w:val="24"/>
          <w:szCs w:val="24"/>
        </w:rPr>
      </w:pPr>
      <w:r>
        <w:rPr>
          <w:rFonts w:hint="eastAsia" w:ascii="黑体" w:hAnsi="宋体" w:eastAsia="黑体"/>
          <w:color w:val="000000"/>
          <w:sz w:val="24"/>
          <w:szCs w:val="24"/>
        </w:rPr>
        <w:t>10、中标方负责协助电扶梯的政府定期检验工作，政府电梯定期检验费用由招标方承担。国家有关安全标准的法律规定发生改变时，乙方将及时书面通知甲方，并为招标方进行此安全设备的安装、调试工作，使其符合新的安全标准，相关人工、材料费用由招标方承担。</w:t>
      </w:r>
      <w:r>
        <w:rPr>
          <w:rFonts w:ascii="黑体" w:hAnsi="宋体" w:eastAsia="黑体"/>
          <w:color w:val="000000"/>
          <w:sz w:val="24"/>
          <w:szCs w:val="24"/>
        </w:rPr>
        <w:t>对于政府定期检验中建议更换的零件，乙方应及时更换。</w:t>
      </w:r>
    </w:p>
    <w:p>
      <w:pPr>
        <w:spacing w:line="360" w:lineRule="auto"/>
        <w:rPr>
          <w:rFonts w:ascii="黑体" w:hAnsi="宋体" w:eastAsia="黑体"/>
          <w:color w:val="000000"/>
          <w:sz w:val="24"/>
          <w:szCs w:val="24"/>
        </w:rPr>
      </w:pPr>
      <w:r>
        <w:rPr>
          <w:rFonts w:hint="eastAsia" w:ascii="黑体" w:hAnsi="宋体" w:eastAsia="黑体"/>
          <w:color w:val="000000"/>
          <w:sz w:val="24"/>
          <w:szCs w:val="24"/>
        </w:rPr>
        <w:t>11、中标方提供全日24小时紧急修理服务，在30分钟内到达现场处理故障。若故障有乘客困于电梯内，乙方承诺根据已接到的甲方通知，在15分钟内到达现场处理。电梯故障严重，乙方加派维修人员，24小时内恢复正常运行。</w:t>
      </w:r>
    </w:p>
    <w:p>
      <w:pPr>
        <w:spacing w:line="360" w:lineRule="auto"/>
        <w:rPr>
          <w:rFonts w:ascii="黑体" w:hAnsi="宋体" w:eastAsia="黑体"/>
          <w:color w:val="000000"/>
          <w:sz w:val="24"/>
          <w:szCs w:val="24"/>
        </w:rPr>
      </w:pPr>
      <w:r>
        <w:rPr>
          <w:rFonts w:hint="eastAsia" w:ascii="黑体" w:hAnsi="宋体" w:eastAsia="黑体"/>
          <w:color w:val="000000"/>
          <w:sz w:val="24"/>
          <w:szCs w:val="24"/>
        </w:rPr>
        <w:t>12、因乙方维护保养不当原因导致电梯定期检验不合格的，乙方应当承担电梯复验费用。</w:t>
      </w:r>
    </w:p>
    <w:p>
      <w:pPr>
        <w:spacing w:line="360" w:lineRule="auto"/>
        <w:rPr>
          <w:rFonts w:ascii="黑体" w:hAnsi="宋体" w:eastAsia="黑体"/>
          <w:color w:val="000000"/>
          <w:sz w:val="24"/>
          <w:szCs w:val="24"/>
        </w:rPr>
      </w:pPr>
      <w:r>
        <w:rPr>
          <w:rFonts w:hint="eastAsia" w:ascii="黑体" w:hAnsi="宋体" w:eastAsia="黑体"/>
          <w:color w:val="000000"/>
          <w:sz w:val="24"/>
          <w:szCs w:val="24"/>
        </w:rPr>
        <w:t>13、甲方如遇重要场合，乙方提供专业技术人员进行保驾护航服务。</w:t>
      </w:r>
    </w:p>
    <w:p>
      <w:pPr>
        <w:spacing w:line="360" w:lineRule="auto"/>
        <w:rPr>
          <w:rFonts w:ascii="黑体" w:hAnsi="宋体" w:eastAsia="黑体"/>
          <w:color w:val="000000"/>
          <w:sz w:val="24"/>
          <w:szCs w:val="24"/>
        </w:rPr>
      </w:pPr>
      <w:r>
        <w:rPr>
          <w:rFonts w:hint="eastAsia" w:ascii="黑体" w:hAnsi="宋体" w:eastAsia="黑体"/>
          <w:color w:val="000000"/>
          <w:sz w:val="24"/>
          <w:szCs w:val="24"/>
        </w:rPr>
        <w:t>14、在招标方要求的情况下，中标方免费提供年度维保服务报告，对一个维保服务周期内的设备运行状况做详细汇总。</w:t>
      </w:r>
    </w:p>
    <w:p>
      <w:pPr>
        <w:spacing w:line="360" w:lineRule="auto"/>
        <w:rPr>
          <w:rFonts w:ascii="黑体" w:hAnsi="宋体" w:eastAsia="黑体"/>
          <w:color w:val="000000"/>
          <w:sz w:val="24"/>
          <w:szCs w:val="24"/>
        </w:rPr>
      </w:pPr>
      <w:r>
        <w:rPr>
          <w:rFonts w:hint="eastAsia" w:ascii="黑体" w:hAnsi="宋体" w:eastAsia="黑体"/>
          <w:color w:val="000000"/>
          <w:sz w:val="24"/>
          <w:szCs w:val="24"/>
        </w:rPr>
        <w:t>15、中标方应定期对常驻维保员进行定期培训，并建立三级培训教育卡，培训情况定期接受甲方监督。</w:t>
      </w:r>
    </w:p>
    <w:p>
      <w:pPr>
        <w:spacing w:line="360" w:lineRule="auto"/>
        <w:rPr>
          <w:rFonts w:ascii="宋体" w:hAnsi="宋体" w:cs="宋体"/>
          <w:b/>
          <w:sz w:val="24"/>
          <w:szCs w:val="24"/>
        </w:rPr>
      </w:pPr>
      <w:r>
        <w:rPr>
          <w:rFonts w:hint="eastAsia" w:ascii="宋体" w:hAnsi="宋体" w:cs="宋体"/>
          <w:b/>
          <w:sz w:val="24"/>
          <w:szCs w:val="24"/>
        </w:rPr>
        <w:t>（四）电梯</w:t>
      </w:r>
      <w:r>
        <w:rPr>
          <w:rFonts w:hint="eastAsia" w:ascii="宋体" w:hAnsi="宋体" w:cs="宋体"/>
          <w:sz w:val="24"/>
          <w:szCs w:val="24"/>
        </w:rPr>
        <w:t>日</w:t>
      </w:r>
      <w:r>
        <w:rPr>
          <w:rFonts w:hint="eastAsia" w:ascii="宋体" w:hAnsi="宋体" w:cs="宋体"/>
          <w:b/>
          <w:sz w:val="24"/>
          <w:szCs w:val="24"/>
        </w:rPr>
        <w:t>常维护保养项目（内容）和要求如下：</w:t>
      </w:r>
    </w:p>
    <w:p>
      <w:pPr>
        <w:spacing w:line="360" w:lineRule="auto"/>
        <w:rPr>
          <w:rFonts w:ascii="宋体" w:hAnsi="宋体" w:cs="宋体"/>
          <w:sz w:val="24"/>
          <w:szCs w:val="24"/>
        </w:rPr>
      </w:pPr>
      <w:r>
        <w:rPr>
          <w:rFonts w:hint="eastAsia" w:ascii="宋体" w:hAnsi="宋体" w:cs="宋体"/>
          <w:sz w:val="24"/>
          <w:szCs w:val="24"/>
        </w:rPr>
        <w:t>表A-1  半月维保项目（内容）和要求</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391"/>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序号</w:t>
            </w:r>
          </w:p>
        </w:tc>
        <w:tc>
          <w:tcPr>
            <w:tcW w:w="3391" w:type="dxa"/>
            <w:vAlign w:val="center"/>
          </w:tcPr>
          <w:p>
            <w:pPr>
              <w:rPr>
                <w:rFonts w:ascii="宋体" w:hAnsi="宋体" w:cs="宋体"/>
                <w:sz w:val="24"/>
                <w:szCs w:val="24"/>
              </w:rPr>
            </w:pPr>
            <w:r>
              <w:rPr>
                <w:rFonts w:hint="eastAsia" w:ascii="宋体" w:hAnsi="宋体" w:cs="宋体"/>
                <w:sz w:val="24"/>
                <w:szCs w:val="24"/>
              </w:rPr>
              <w:t>维保项目（内容）</w:t>
            </w:r>
          </w:p>
        </w:tc>
        <w:tc>
          <w:tcPr>
            <w:tcW w:w="5245"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w:t>
            </w:r>
          </w:p>
        </w:tc>
        <w:tc>
          <w:tcPr>
            <w:tcW w:w="3391" w:type="dxa"/>
            <w:vAlign w:val="center"/>
          </w:tcPr>
          <w:p>
            <w:pPr>
              <w:rPr>
                <w:rFonts w:ascii="宋体" w:hAnsi="宋体" w:cs="宋体"/>
                <w:sz w:val="24"/>
                <w:szCs w:val="24"/>
              </w:rPr>
            </w:pPr>
            <w:r>
              <w:rPr>
                <w:rFonts w:hint="eastAsia" w:ascii="宋体" w:hAnsi="宋体" w:cs="宋体"/>
                <w:sz w:val="24"/>
                <w:szCs w:val="24"/>
              </w:rPr>
              <w:t>机房、滑轮间环境</w:t>
            </w:r>
          </w:p>
        </w:tc>
        <w:tc>
          <w:tcPr>
            <w:tcW w:w="5245" w:type="dxa"/>
            <w:vAlign w:val="center"/>
          </w:tcPr>
          <w:p>
            <w:pPr>
              <w:rPr>
                <w:rFonts w:ascii="宋体" w:hAnsi="宋体" w:cs="宋体"/>
                <w:sz w:val="24"/>
                <w:szCs w:val="24"/>
              </w:rPr>
            </w:pPr>
            <w:r>
              <w:rPr>
                <w:rFonts w:hint="eastAsia" w:ascii="宋体" w:hAnsi="宋体" w:cs="宋体"/>
                <w:sz w:val="24"/>
                <w:szCs w:val="24"/>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2</w:t>
            </w:r>
          </w:p>
        </w:tc>
        <w:tc>
          <w:tcPr>
            <w:tcW w:w="3391" w:type="dxa"/>
            <w:vAlign w:val="center"/>
          </w:tcPr>
          <w:p>
            <w:pPr>
              <w:rPr>
                <w:rFonts w:ascii="宋体" w:hAnsi="宋体" w:cs="宋体"/>
                <w:sz w:val="24"/>
                <w:szCs w:val="24"/>
              </w:rPr>
            </w:pPr>
            <w:r>
              <w:rPr>
                <w:rFonts w:hint="eastAsia" w:ascii="宋体" w:hAnsi="宋体" w:cs="宋体"/>
                <w:sz w:val="24"/>
                <w:szCs w:val="24"/>
              </w:rPr>
              <w:t>手动紧急操作装置</w:t>
            </w:r>
          </w:p>
        </w:tc>
        <w:tc>
          <w:tcPr>
            <w:tcW w:w="5245" w:type="dxa"/>
            <w:vAlign w:val="center"/>
          </w:tcPr>
          <w:p>
            <w:pPr>
              <w:rPr>
                <w:rFonts w:ascii="宋体" w:hAnsi="宋体" w:cs="宋体"/>
                <w:sz w:val="24"/>
                <w:szCs w:val="24"/>
              </w:rPr>
            </w:pPr>
            <w:r>
              <w:rPr>
                <w:rFonts w:hint="eastAsia" w:ascii="宋体" w:hAnsi="宋体" w:cs="宋体"/>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3</w:t>
            </w:r>
          </w:p>
        </w:tc>
        <w:tc>
          <w:tcPr>
            <w:tcW w:w="3391" w:type="dxa"/>
            <w:vAlign w:val="center"/>
          </w:tcPr>
          <w:p>
            <w:pPr>
              <w:rPr>
                <w:rFonts w:ascii="宋体" w:hAnsi="宋体" w:cs="宋体"/>
                <w:sz w:val="24"/>
                <w:szCs w:val="24"/>
              </w:rPr>
            </w:pPr>
            <w:r>
              <w:rPr>
                <w:rFonts w:hint="eastAsia" w:ascii="宋体" w:hAnsi="宋体" w:cs="宋体"/>
                <w:sz w:val="24"/>
                <w:szCs w:val="24"/>
              </w:rPr>
              <w:t>曳引机</w:t>
            </w:r>
          </w:p>
        </w:tc>
        <w:tc>
          <w:tcPr>
            <w:tcW w:w="5245" w:type="dxa"/>
            <w:vAlign w:val="center"/>
          </w:tcPr>
          <w:p>
            <w:pPr>
              <w:rPr>
                <w:rFonts w:ascii="宋体" w:hAnsi="宋体" w:cs="宋体"/>
                <w:sz w:val="24"/>
                <w:szCs w:val="24"/>
              </w:rPr>
            </w:pPr>
            <w:r>
              <w:rPr>
                <w:rFonts w:hint="eastAsia" w:ascii="宋体" w:hAnsi="宋体" w:cs="宋体"/>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4</w:t>
            </w:r>
          </w:p>
        </w:tc>
        <w:tc>
          <w:tcPr>
            <w:tcW w:w="3391" w:type="dxa"/>
            <w:vAlign w:val="center"/>
          </w:tcPr>
          <w:p>
            <w:pPr>
              <w:rPr>
                <w:rFonts w:ascii="宋体" w:hAnsi="宋体" w:cs="宋体"/>
                <w:sz w:val="24"/>
                <w:szCs w:val="24"/>
              </w:rPr>
            </w:pPr>
            <w:r>
              <w:rPr>
                <w:rFonts w:hint="eastAsia" w:ascii="宋体" w:hAnsi="宋体" w:cs="宋体"/>
                <w:sz w:val="24"/>
                <w:szCs w:val="24"/>
              </w:rPr>
              <w:t>制动器各销轴部位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5</w:t>
            </w:r>
          </w:p>
        </w:tc>
        <w:tc>
          <w:tcPr>
            <w:tcW w:w="3391" w:type="dxa"/>
            <w:vAlign w:val="center"/>
          </w:tcPr>
          <w:p>
            <w:pPr>
              <w:rPr>
                <w:rFonts w:ascii="宋体" w:hAnsi="宋体" w:cs="宋体"/>
                <w:sz w:val="24"/>
                <w:szCs w:val="24"/>
              </w:rPr>
            </w:pPr>
            <w:r>
              <w:rPr>
                <w:rFonts w:hint="eastAsia" w:ascii="宋体" w:hAnsi="宋体" w:cs="宋体"/>
                <w:sz w:val="24"/>
                <w:szCs w:val="24"/>
              </w:rPr>
              <w:t>制动器间隙</w:t>
            </w:r>
          </w:p>
        </w:tc>
        <w:tc>
          <w:tcPr>
            <w:tcW w:w="5245" w:type="dxa"/>
            <w:vAlign w:val="center"/>
          </w:tcPr>
          <w:p>
            <w:pPr>
              <w:rPr>
                <w:rFonts w:ascii="宋体" w:hAnsi="宋体" w:cs="宋体"/>
                <w:sz w:val="24"/>
                <w:szCs w:val="24"/>
              </w:rPr>
            </w:pPr>
            <w:r>
              <w:rPr>
                <w:rFonts w:hint="eastAsia" w:ascii="宋体" w:hAnsi="宋体" w:cs="宋体"/>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6</w:t>
            </w:r>
          </w:p>
        </w:tc>
        <w:tc>
          <w:tcPr>
            <w:tcW w:w="3391" w:type="dxa"/>
            <w:vAlign w:val="center"/>
          </w:tcPr>
          <w:p>
            <w:pPr>
              <w:rPr>
                <w:rFonts w:ascii="宋体" w:hAnsi="宋体" w:cs="宋体"/>
                <w:sz w:val="24"/>
                <w:szCs w:val="24"/>
              </w:rPr>
            </w:pPr>
            <w:r>
              <w:rPr>
                <w:rFonts w:hint="eastAsia" w:ascii="宋体" w:hAnsi="宋体" w:cs="宋体"/>
                <w:sz w:val="24"/>
                <w:szCs w:val="24"/>
              </w:rPr>
              <w:t>制动器作为轿厢意外移动保护装置制停子系统时的自检测</w:t>
            </w:r>
          </w:p>
        </w:tc>
        <w:tc>
          <w:tcPr>
            <w:tcW w:w="5245" w:type="dxa"/>
            <w:vAlign w:val="center"/>
          </w:tcPr>
          <w:p>
            <w:pPr>
              <w:rPr>
                <w:rFonts w:ascii="宋体" w:hAnsi="宋体" w:cs="宋体"/>
                <w:sz w:val="24"/>
                <w:szCs w:val="24"/>
              </w:rPr>
            </w:pPr>
            <w:r>
              <w:rPr>
                <w:rFonts w:hint="eastAsia" w:ascii="宋体" w:hAnsi="宋体" w:cs="宋体"/>
                <w:sz w:val="24"/>
                <w:szCs w:val="24"/>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7</w:t>
            </w:r>
          </w:p>
        </w:tc>
        <w:tc>
          <w:tcPr>
            <w:tcW w:w="3391" w:type="dxa"/>
            <w:vAlign w:val="center"/>
          </w:tcPr>
          <w:p>
            <w:pPr>
              <w:rPr>
                <w:rFonts w:ascii="宋体" w:hAnsi="宋体" w:cs="宋体"/>
                <w:sz w:val="24"/>
                <w:szCs w:val="24"/>
              </w:rPr>
            </w:pPr>
            <w:r>
              <w:rPr>
                <w:rFonts w:hint="eastAsia" w:ascii="宋体" w:hAnsi="宋体" w:cs="宋体"/>
                <w:sz w:val="24"/>
                <w:szCs w:val="24"/>
              </w:rPr>
              <w:t>编码器</w:t>
            </w:r>
          </w:p>
        </w:tc>
        <w:tc>
          <w:tcPr>
            <w:tcW w:w="5245" w:type="dxa"/>
            <w:vAlign w:val="center"/>
          </w:tcPr>
          <w:p>
            <w:pPr>
              <w:rPr>
                <w:rFonts w:ascii="宋体" w:hAnsi="宋体" w:cs="宋体"/>
                <w:sz w:val="24"/>
                <w:szCs w:val="24"/>
              </w:rPr>
            </w:pPr>
            <w:r>
              <w:rPr>
                <w:rFonts w:hint="eastAsia" w:ascii="宋体" w:hAnsi="宋体" w:cs="宋体"/>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8</w:t>
            </w:r>
          </w:p>
        </w:tc>
        <w:tc>
          <w:tcPr>
            <w:tcW w:w="3391" w:type="dxa"/>
            <w:vAlign w:val="center"/>
          </w:tcPr>
          <w:p>
            <w:pPr>
              <w:rPr>
                <w:rFonts w:ascii="宋体" w:hAnsi="宋体" w:cs="宋体"/>
                <w:sz w:val="24"/>
                <w:szCs w:val="24"/>
              </w:rPr>
            </w:pPr>
            <w:r>
              <w:rPr>
                <w:rFonts w:hint="eastAsia" w:ascii="宋体" w:hAnsi="宋体" w:cs="宋体"/>
                <w:sz w:val="24"/>
                <w:szCs w:val="24"/>
              </w:rPr>
              <w:t>限速器各销轴部位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9</w:t>
            </w:r>
          </w:p>
        </w:tc>
        <w:tc>
          <w:tcPr>
            <w:tcW w:w="3391" w:type="dxa"/>
            <w:vAlign w:val="center"/>
          </w:tcPr>
          <w:p>
            <w:pPr>
              <w:rPr>
                <w:rFonts w:ascii="宋体" w:hAnsi="宋体" w:cs="宋体"/>
                <w:sz w:val="24"/>
                <w:szCs w:val="24"/>
              </w:rPr>
            </w:pPr>
            <w:r>
              <w:rPr>
                <w:rFonts w:hint="eastAsia" w:ascii="宋体" w:hAnsi="宋体" w:cs="宋体"/>
                <w:sz w:val="24"/>
                <w:szCs w:val="24"/>
              </w:rPr>
              <w:t>层门和轿门旁路装置</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10</w:t>
            </w:r>
          </w:p>
        </w:tc>
        <w:tc>
          <w:tcPr>
            <w:tcW w:w="3391" w:type="dxa"/>
            <w:vAlign w:val="center"/>
          </w:tcPr>
          <w:p>
            <w:pPr>
              <w:rPr>
                <w:rFonts w:ascii="宋体" w:hAnsi="宋体" w:cs="宋体"/>
                <w:sz w:val="24"/>
                <w:szCs w:val="24"/>
              </w:rPr>
            </w:pPr>
            <w:r>
              <w:rPr>
                <w:rFonts w:hint="eastAsia" w:ascii="宋体" w:hAnsi="宋体" w:cs="宋体"/>
                <w:sz w:val="24"/>
                <w:szCs w:val="24"/>
              </w:rPr>
              <w:t>紧急电动运行</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11</w:t>
            </w:r>
          </w:p>
        </w:tc>
        <w:tc>
          <w:tcPr>
            <w:tcW w:w="3391" w:type="dxa"/>
            <w:vAlign w:val="center"/>
          </w:tcPr>
          <w:p>
            <w:pPr>
              <w:rPr>
                <w:rFonts w:ascii="宋体" w:hAnsi="宋体" w:cs="宋体"/>
                <w:sz w:val="24"/>
                <w:szCs w:val="24"/>
              </w:rPr>
            </w:pPr>
            <w:r>
              <w:rPr>
                <w:rFonts w:hint="eastAsia" w:ascii="宋体" w:hAnsi="宋体" w:cs="宋体"/>
                <w:sz w:val="24"/>
                <w:szCs w:val="24"/>
              </w:rPr>
              <w:t>轿顶</w:t>
            </w:r>
          </w:p>
        </w:tc>
        <w:tc>
          <w:tcPr>
            <w:tcW w:w="5245" w:type="dxa"/>
            <w:vAlign w:val="center"/>
          </w:tcPr>
          <w:p>
            <w:pPr>
              <w:rPr>
                <w:rFonts w:ascii="宋体" w:hAnsi="宋体" w:cs="宋体"/>
                <w:sz w:val="24"/>
                <w:szCs w:val="24"/>
              </w:rPr>
            </w:pPr>
            <w:r>
              <w:rPr>
                <w:rFonts w:hint="eastAsia" w:ascii="宋体" w:hAnsi="宋体" w:cs="宋体"/>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391" w:type="dxa"/>
            <w:vAlign w:val="center"/>
          </w:tcPr>
          <w:p>
            <w:pPr>
              <w:rPr>
                <w:rFonts w:ascii="宋体" w:hAnsi="宋体" w:cs="宋体"/>
                <w:sz w:val="24"/>
                <w:szCs w:val="24"/>
              </w:rPr>
            </w:pPr>
            <w:r>
              <w:rPr>
                <w:rFonts w:hint="eastAsia" w:ascii="宋体" w:hAnsi="宋体" w:cs="宋体"/>
                <w:sz w:val="24"/>
                <w:szCs w:val="24"/>
              </w:rPr>
              <w:t>轿顶检修开关、急停开关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391" w:type="dxa"/>
            <w:vAlign w:val="center"/>
          </w:tcPr>
          <w:p>
            <w:pPr>
              <w:rPr>
                <w:rFonts w:ascii="宋体" w:hAnsi="宋体" w:cs="宋体"/>
                <w:sz w:val="24"/>
                <w:szCs w:val="24"/>
              </w:rPr>
            </w:pPr>
            <w:r>
              <w:rPr>
                <w:rFonts w:hint="eastAsia" w:ascii="宋体" w:hAnsi="宋体" w:cs="宋体"/>
                <w:sz w:val="24"/>
                <w:szCs w:val="24"/>
              </w:rPr>
              <w:t>导靴上油杯</w:t>
            </w:r>
          </w:p>
        </w:tc>
        <w:tc>
          <w:tcPr>
            <w:tcW w:w="5245" w:type="dxa"/>
            <w:vAlign w:val="center"/>
          </w:tcPr>
          <w:p>
            <w:pPr>
              <w:rPr>
                <w:rFonts w:ascii="宋体" w:hAnsi="宋体" w:cs="宋体"/>
                <w:sz w:val="24"/>
                <w:szCs w:val="24"/>
              </w:rPr>
            </w:pPr>
            <w:r>
              <w:rPr>
                <w:rFonts w:hint="eastAsia" w:ascii="宋体" w:hAnsi="宋体" w:cs="宋体"/>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391" w:type="dxa"/>
            <w:vAlign w:val="center"/>
          </w:tcPr>
          <w:p>
            <w:pPr>
              <w:rPr>
                <w:rFonts w:ascii="宋体" w:hAnsi="宋体" w:cs="宋体"/>
                <w:sz w:val="24"/>
                <w:szCs w:val="24"/>
              </w:rPr>
            </w:pPr>
            <w:r>
              <w:rPr>
                <w:rFonts w:hint="eastAsia" w:ascii="宋体" w:hAnsi="宋体" w:cs="宋体"/>
                <w:sz w:val="24"/>
                <w:szCs w:val="24"/>
              </w:rPr>
              <w:t>对重块及其压板</w:t>
            </w:r>
          </w:p>
        </w:tc>
        <w:tc>
          <w:tcPr>
            <w:tcW w:w="5245" w:type="dxa"/>
            <w:vAlign w:val="center"/>
          </w:tcPr>
          <w:p>
            <w:pPr>
              <w:rPr>
                <w:rFonts w:ascii="宋体" w:hAnsi="宋体" w:cs="宋体"/>
                <w:sz w:val="24"/>
                <w:szCs w:val="24"/>
              </w:rPr>
            </w:pPr>
            <w:r>
              <w:rPr>
                <w:rFonts w:hint="eastAsia" w:ascii="宋体" w:hAnsi="宋体" w:cs="宋体"/>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391" w:type="dxa"/>
            <w:vAlign w:val="center"/>
          </w:tcPr>
          <w:p>
            <w:pPr>
              <w:rPr>
                <w:rFonts w:ascii="宋体" w:hAnsi="宋体" w:cs="宋体"/>
                <w:sz w:val="24"/>
                <w:szCs w:val="24"/>
              </w:rPr>
            </w:pPr>
            <w:r>
              <w:rPr>
                <w:rFonts w:hint="eastAsia" w:ascii="宋体" w:hAnsi="宋体" w:cs="宋体"/>
                <w:sz w:val="24"/>
                <w:szCs w:val="24"/>
              </w:rPr>
              <w:t>井道照明</w:t>
            </w:r>
          </w:p>
        </w:tc>
        <w:tc>
          <w:tcPr>
            <w:tcW w:w="5245" w:type="dxa"/>
            <w:vAlign w:val="center"/>
          </w:tcPr>
          <w:p>
            <w:pPr>
              <w:rPr>
                <w:rFonts w:ascii="宋体" w:hAnsi="宋体" w:cs="宋体"/>
                <w:sz w:val="24"/>
                <w:szCs w:val="24"/>
              </w:rPr>
            </w:pPr>
            <w:r>
              <w:rPr>
                <w:rFonts w:hint="eastAsia" w:ascii="宋体" w:hAnsi="宋体" w:cs="宋体"/>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16</w:t>
            </w:r>
          </w:p>
        </w:tc>
        <w:tc>
          <w:tcPr>
            <w:tcW w:w="3391" w:type="dxa"/>
            <w:vAlign w:val="center"/>
          </w:tcPr>
          <w:p>
            <w:pPr>
              <w:rPr>
                <w:rFonts w:ascii="宋体" w:hAnsi="宋体" w:cs="宋体"/>
                <w:sz w:val="24"/>
                <w:szCs w:val="24"/>
              </w:rPr>
            </w:pPr>
            <w:r>
              <w:rPr>
                <w:rFonts w:hint="eastAsia" w:ascii="宋体" w:hAnsi="宋体" w:cs="宋体"/>
                <w:sz w:val="24"/>
                <w:szCs w:val="24"/>
              </w:rPr>
              <w:t>轿厢照明、风扇、应急照明</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17</w:t>
            </w:r>
          </w:p>
        </w:tc>
        <w:tc>
          <w:tcPr>
            <w:tcW w:w="3391" w:type="dxa"/>
            <w:vAlign w:val="center"/>
          </w:tcPr>
          <w:p>
            <w:pPr>
              <w:rPr>
                <w:rFonts w:ascii="宋体" w:hAnsi="宋体" w:cs="宋体"/>
                <w:sz w:val="24"/>
                <w:szCs w:val="24"/>
              </w:rPr>
            </w:pPr>
            <w:r>
              <w:rPr>
                <w:rFonts w:hint="eastAsia" w:ascii="宋体" w:hAnsi="宋体" w:cs="宋体"/>
                <w:sz w:val="24"/>
                <w:szCs w:val="24"/>
              </w:rPr>
              <w:t>轿厢检修开关、急停开关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18</w:t>
            </w:r>
          </w:p>
        </w:tc>
        <w:tc>
          <w:tcPr>
            <w:tcW w:w="3391" w:type="dxa"/>
            <w:vAlign w:val="center"/>
          </w:tcPr>
          <w:p>
            <w:pPr>
              <w:rPr>
                <w:rFonts w:ascii="宋体" w:hAnsi="宋体" w:cs="宋体"/>
                <w:sz w:val="24"/>
                <w:szCs w:val="24"/>
              </w:rPr>
            </w:pPr>
            <w:r>
              <w:rPr>
                <w:rFonts w:hint="eastAsia" w:ascii="宋体" w:hAnsi="宋体" w:cs="宋体"/>
                <w:sz w:val="24"/>
                <w:szCs w:val="24"/>
              </w:rPr>
              <w:t>轿内报警装置、对讲系统</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19</w:t>
            </w:r>
          </w:p>
        </w:tc>
        <w:tc>
          <w:tcPr>
            <w:tcW w:w="3391" w:type="dxa"/>
            <w:vAlign w:val="center"/>
          </w:tcPr>
          <w:p>
            <w:pPr>
              <w:rPr>
                <w:rFonts w:ascii="宋体" w:hAnsi="宋体" w:cs="宋体"/>
                <w:sz w:val="24"/>
                <w:szCs w:val="24"/>
              </w:rPr>
            </w:pPr>
            <w:r>
              <w:rPr>
                <w:rFonts w:hint="eastAsia" w:ascii="宋体" w:hAnsi="宋体" w:cs="宋体"/>
                <w:sz w:val="24"/>
                <w:szCs w:val="24"/>
              </w:rPr>
              <w:t>轿内显示、指令按钮、IC卡系统</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20</w:t>
            </w:r>
          </w:p>
        </w:tc>
        <w:tc>
          <w:tcPr>
            <w:tcW w:w="3391" w:type="dxa"/>
            <w:vAlign w:val="center"/>
          </w:tcPr>
          <w:p>
            <w:pPr>
              <w:rPr>
                <w:rFonts w:ascii="宋体" w:hAnsi="宋体" w:cs="宋体"/>
                <w:sz w:val="24"/>
                <w:szCs w:val="24"/>
              </w:rPr>
            </w:pPr>
            <w:r>
              <w:rPr>
                <w:rFonts w:hint="eastAsia" w:ascii="宋体" w:hAnsi="宋体" w:cs="宋体"/>
                <w:sz w:val="24"/>
                <w:szCs w:val="24"/>
              </w:rPr>
              <w:t>轿门安全装置（安全触板，光幕、光电等）</w:t>
            </w:r>
          </w:p>
        </w:tc>
        <w:tc>
          <w:tcPr>
            <w:tcW w:w="5245" w:type="dxa"/>
            <w:vAlign w:val="center"/>
          </w:tcPr>
          <w:p>
            <w:pPr>
              <w:rPr>
                <w:rFonts w:ascii="宋体" w:hAnsi="宋体" w:cs="宋体"/>
                <w:sz w:val="24"/>
                <w:szCs w:val="24"/>
              </w:rPr>
            </w:pPr>
            <w:r>
              <w:rPr>
                <w:rFonts w:hint="eastAsia" w:ascii="宋体" w:hAnsi="宋体" w:cs="宋体"/>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21</w:t>
            </w:r>
          </w:p>
        </w:tc>
        <w:tc>
          <w:tcPr>
            <w:tcW w:w="3391" w:type="dxa"/>
            <w:vAlign w:val="center"/>
          </w:tcPr>
          <w:p>
            <w:pPr>
              <w:rPr>
                <w:rFonts w:ascii="宋体" w:hAnsi="宋体" w:cs="宋体"/>
                <w:sz w:val="24"/>
                <w:szCs w:val="24"/>
              </w:rPr>
            </w:pPr>
            <w:r>
              <w:rPr>
                <w:rFonts w:hint="eastAsia" w:ascii="宋体" w:hAnsi="宋体" w:cs="宋体"/>
                <w:sz w:val="24"/>
                <w:szCs w:val="24"/>
              </w:rPr>
              <w:t>轿门门锁电气触点</w:t>
            </w:r>
          </w:p>
        </w:tc>
        <w:tc>
          <w:tcPr>
            <w:tcW w:w="5245" w:type="dxa"/>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22</w:t>
            </w:r>
          </w:p>
        </w:tc>
        <w:tc>
          <w:tcPr>
            <w:tcW w:w="3391" w:type="dxa"/>
            <w:vAlign w:val="center"/>
          </w:tcPr>
          <w:p>
            <w:pPr>
              <w:rPr>
                <w:rFonts w:ascii="宋体" w:hAnsi="宋体" w:cs="宋体"/>
                <w:sz w:val="24"/>
                <w:szCs w:val="24"/>
              </w:rPr>
            </w:pPr>
            <w:r>
              <w:rPr>
                <w:rFonts w:hint="eastAsia" w:ascii="宋体" w:hAnsi="宋体" w:cs="宋体"/>
                <w:sz w:val="24"/>
                <w:szCs w:val="24"/>
              </w:rPr>
              <w:t>轿门运行</w:t>
            </w:r>
          </w:p>
        </w:tc>
        <w:tc>
          <w:tcPr>
            <w:tcW w:w="5245" w:type="dxa"/>
            <w:vAlign w:val="center"/>
          </w:tcPr>
          <w:p>
            <w:pPr>
              <w:rPr>
                <w:rFonts w:ascii="宋体" w:hAnsi="宋体" w:cs="宋体"/>
                <w:sz w:val="24"/>
                <w:szCs w:val="24"/>
              </w:rPr>
            </w:pPr>
            <w:r>
              <w:rPr>
                <w:rFonts w:hint="eastAsia" w:ascii="宋体" w:hAnsi="宋体" w:cs="宋体"/>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23</w:t>
            </w:r>
          </w:p>
        </w:tc>
        <w:tc>
          <w:tcPr>
            <w:tcW w:w="3391" w:type="dxa"/>
            <w:vAlign w:val="center"/>
          </w:tcPr>
          <w:p>
            <w:pPr>
              <w:rPr>
                <w:rFonts w:ascii="宋体" w:hAnsi="宋体" w:cs="宋体"/>
                <w:sz w:val="24"/>
                <w:szCs w:val="24"/>
              </w:rPr>
            </w:pPr>
            <w:r>
              <w:rPr>
                <w:rFonts w:hint="eastAsia" w:ascii="宋体" w:hAnsi="宋体" w:cs="宋体"/>
                <w:sz w:val="24"/>
                <w:szCs w:val="24"/>
              </w:rPr>
              <w:t>轿厢平层准确度</w:t>
            </w:r>
          </w:p>
        </w:tc>
        <w:tc>
          <w:tcPr>
            <w:tcW w:w="5245"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24</w:t>
            </w:r>
          </w:p>
        </w:tc>
        <w:tc>
          <w:tcPr>
            <w:tcW w:w="3391" w:type="dxa"/>
            <w:vAlign w:val="center"/>
          </w:tcPr>
          <w:p>
            <w:pPr>
              <w:rPr>
                <w:rFonts w:ascii="宋体" w:hAnsi="宋体" w:cs="宋体"/>
                <w:sz w:val="24"/>
                <w:szCs w:val="24"/>
              </w:rPr>
            </w:pPr>
            <w:r>
              <w:rPr>
                <w:rFonts w:hint="eastAsia" w:ascii="宋体" w:hAnsi="宋体" w:cs="宋体"/>
                <w:sz w:val="24"/>
                <w:szCs w:val="24"/>
              </w:rPr>
              <w:t>层站召唤、层楼显示</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25</w:t>
            </w:r>
          </w:p>
        </w:tc>
        <w:tc>
          <w:tcPr>
            <w:tcW w:w="3391" w:type="dxa"/>
            <w:vAlign w:val="center"/>
          </w:tcPr>
          <w:p>
            <w:pPr>
              <w:rPr>
                <w:rFonts w:ascii="宋体" w:hAnsi="宋体" w:cs="宋体"/>
                <w:sz w:val="24"/>
                <w:szCs w:val="24"/>
              </w:rPr>
            </w:pPr>
            <w:r>
              <w:rPr>
                <w:rFonts w:hint="eastAsia" w:ascii="宋体" w:hAnsi="宋体" w:cs="宋体"/>
                <w:sz w:val="24"/>
                <w:szCs w:val="24"/>
              </w:rPr>
              <w:t>层门地坎</w:t>
            </w:r>
          </w:p>
        </w:tc>
        <w:tc>
          <w:tcPr>
            <w:tcW w:w="5245" w:type="dxa"/>
            <w:vAlign w:val="center"/>
          </w:tcPr>
          <w:p>
            <w:pPr>
              <w:rPr>
                <w:rFonts w:ascii="宋体" w:hAnsi="宋体" w:cs="宋体"/>
                <w:sz w:val="24"/>
                <w:szCs w:val="24"/>
              </w:rPr>
            </w:pPr>
            <w:r>
              <w:rPr>
                <w:rFonts w:hint="eastAsia" w:ascii="宋体" w:hAnsi="宋体" w:cs="宋体"/>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26</w:t>
            </w:r>
          </w:p>
        </w:tc>
        <w:tc>
          <w:tcPr>
            <w:tcW w:w="3391" w:type="dxa"/>
            <w:vAlign w:val="center"/>
          </w:tcPr>
          <w:p>
            <w:pPr>
              <w:rPr>
                <w:rFonts w:ascii="宋体" w:hAnsi="宋体" w:cs="宋体"/>
                <w:sz w:val="24"/>
                <w:szCs w:val="24"/>
              </w:rPr>
            </w:pPr>
            <w:r>
              <w:rPr>
                <w:rFonts w:hint="eastAsia" w:ascii="宋体" w:hAnsi="宋体" w:cs="宋体"/>
                <w:sz w:val="24"/>
                <w:szCs w:val="24"/>
              </w:rPr>
              <w:t>层门自动关门装置</w:t>
            </w:r>
          </w:p>
        </w:tc>
        <w:tc>
          <w:tcPr>
            <w:tcW w:w="5245" w:type="dxa"/>
            <w:vAlign w:val="center"/>
          </w:tcPr>
          <w:p>
            <w:pPr>
              <w:rPr>
                <w:rFonts w:ascii="宋体" w:hAnsi="宋体" w:cs="宋体"/>
                <w:sz w:val="24"/>
                <w:szCs w:val="24"/>
              </w:rPr>
            </w:pPr>
            <w:r>
              <w:rPr>
                <w:rFonts w:hint="eastAsia" w:ascii="宋体" w:hAnsi="宋体" w:cs="宋体"/>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27</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层门门锁自动复位</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28</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层门门锁电气触点</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29</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层门锁紧元件啮合长度</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30</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底坑环境</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31</w:t>
            </w:r>
          </w:p>
        </w:tc>
        <w:tc>
          <w:tcPr>
            <w:tcW w:w="3391"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底坑急停开关</w:t>
            </w:r>
          </w:p>
        </w:tc>
        <w:tc>
          <w:tcPr>
            <w:tcW w:w="5245"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表A-2  季度维保项目（内容）和要求 &lt;含半月维保项目&gt;</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制动衬</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位置脉冲发生器</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选层器动静触点</w:t>
            </w:r>
          </w:p>
        </w:tc>
        <w:tc>
          <w:tcPr>
            <w:tcW w:w="5220" w:type="dxa"/>
            <w:vAlign w:val="center"/>
          </w:tcPr>
          <w:p>
            <w:pPr>
              <w:rPr>
                <w:rFonts w:ascii="宋体" w:hAnsi="宋体" w:cs="宋体"/>
                <w:sz w:val="24"/>
                <w:szCs w:val="24"/>
              </w:rPr>
            </w:pPr>
            <w:r>
              <w:rPr>
                <w:rFonts w:hint="eastAsia" w:ascii="宋体" w:hAnsi="宋体" w:cs="宋体"/>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曳引轮槽、曳引钢丝绳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限速器轮槽、限速器钢丝绳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靴衬、滚轮</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验证轿门关闭的电气安全装置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层门、轿门系统中传动钢丝绳、链条、胶带</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层门门导靴</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消防开关</w:t>
            </w:r>
          </w:p>
        </w:tc>
        <w:tc>
          <w:tcPr>
            <w:tcW w:w="5220" w:type="dxa"/>
            <w:vAlign w:val="center"/>
          </w:tcPr>
          <w:p>
            <w:pPr>
              <w:rPr>
                <w:rFonts w:ascii="宋体" w:hAnsi="宋体" w:cs="宋体"/>
                <w:sz w:val="24"/>
                <w:szCs w:val="24"/>
              </w:rPr>
            </w:pPr>
            <w:r>
              <w:rPr>
                <w:rFonts w:hint="eastAsia" w:ascii="宋体" w:hAnsi="宋体" w:cs="宋体"/>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耗能缓冲器</w:t>
            </w:r>
          </w:p>
        </w:tc>
        <w:tc>
          <w:tcPr>
            <w:tcW w:w="5220" w:type="dxa"/>
            <w:vAlign w:val="center"/>
          </w:tcPr>
          <w:p>
            <w:pPr>
              <w:rPr>
                <w:rFonts w:ascii="宋体" w:hAnsi="宋体" w:cs="宋体"/>
                <w:sz w:val="24"/>
                <w:szCs w:val="24"/>
              </w:rPr>
            </w:pPr>
            <w:r>
              <w:rPr>
                <w:rFonts w:hint="eastAsia" w:ascii="宋体" w:hAnsi="宋体" w:cs="宋体"/>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限速器张紧轮装置和电气安全装置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表A-3  半年维保项目（内容）和要求 &lt;含半月及季度维保项目&gt;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电动机与减速机联轴器螺栓</w:t>
            </w:r>
          </w:p>
        </w:tc>
        <w:tc>
          <w:tcPr>
            <w:tcW w:w="5220" w:type="dxa"/>
            <w:vAlign w:val="center"/>
          </w:tcPr>
          <w:p>
            <w:pPr>
              <w:rPr>
                <w:rFonts w:ascii="宋体" w:hAnsi="宋体" w:cs="宋体"/>
                <w:sz w:val="24"/>
                <w:szCs w:val="24"/>
              </w:rPr>
            </w:pPr>
            <w:r>
              <w:rPr>
                <w:rFonts w:hint="eastAsia" w:ascii="宋体" w:hAnsi="宋体" w:cs="宋体"/>
                <w:sz w:val="24"/>
                <w:szCs w:val="24"/>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曳引轮、导向轮轴承部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曳引轮槽</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制动器上检测开关</w:t>
            </w:r>
          </w:p>
        </w:tc>
        <w:tc>
          <w:tcPr>
            <w:tcW w:w="5220" w:type="dxa"/>
            <w:vAlign w:val="center"/>
          </w:tcPr>
          <w:p>
            <w:pPr>
              <w:rPr>
                <w:rFonts w:ascii="宋体" w:hAnsi="宋体" w:cs="宋体"/>
                <w:sz w:val="24"/>
                <w:szCs w:val="24"/>
              </w:rPr>
            </w:pPr>
            <w:r>
              <w:rPr>
                <w:rFonts w:hint="eastAsia" w:ascii="宋体" w:hAnsi="宋体" w:cs="宋体"/>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控制柜内各接线端子</w:t>
            </w:r>
          </w:p>
        </w:tc>
        <w:tc>
          <w:tcPr>
            <w:tcW w:w="5220" w:type="dxa"/>
            <w:vAlign w:val="center"/>
          </w:tcPr>
          <w:p>
            <w:pPr>
              <w:rPr>
                <w:rFonts w:ascii="宋体" w:hAnsi="宋体" w:cs="宋体"/>
                <w:sz w:val="24"/>
                <w:szCs w:val="24"/>
              </w:rPr>
            </w:pPr>
            <w:r>
              <w:rPr>
                <w:rFonts w:hint="eastAsia" w:ascii="宋体" w:hAnsi="宋体" w:cs="宋体"/>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控制柜各仪表</w:t>
            </w:r>
          </w:p>
        </w:tc>
        <w:tc>
          <w:tcPr>
            <w:tcW w:w="5220" w:type="dxa"/>
            <w:vAlign w:val="center"/>
          </w:tcPr>
          <w:p>
            <w:pPr>
              <w:rPr>
                <w:rFonts w:ascii="宋体" w:hAnsi="宋体" w:cs="宋体"/>
                <w:sz w:val="24"/>
                <w:szCs w:val="24"/>
              </w:rPr>
            </w:pPr>
            <w:r>
              <w:rPr>
                <w:rFonts w:hint="eastAsia" w:ascii="宋体" w:hAnsi="宋体" w:cs="宋体"/>
                <w:sz w:val="24"/>
                <w:szCs w:val="24"/>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井道、对重、轿顶各反绳轮轴承部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曳引绳、补偿绳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曳引绳绳头组合</w:t>
            </w:r>
          </w:p>
        </w:tc>
        <w:tc>
          <w:tcPr>
            <w:tcW w:w="5220" w:type="dxa"/>
            <w:vAlign w:val="center"/>
          </w:tcPr>
          <w:p>
            <w:pPr>
              <w:rPr>
                <w:rFonts w:ascii="宋体" w:hAnsi="宋体" w:cs="宋体"/>
                <w:sz w:val="24"/>
                <w:szCs w:val="24"/>
              </w:rPr>
            </w:pPr>
            <w:r>
              <w:rPr>
                <w:rFonts w:hint="eastAsia" w:ascii="宋体" w:hAnsi="宋体" w:cs="宋体"/>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限速器钢丝绳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层门、轿门门扇</w:t>
            </w:r>
          </w:p>
        </w:tc>
        <w:tc>
          <w:tcPr>
            <w:tcW w:w="5220" w:type="dxa"/>
            <w:vAlign w:val="center"/>
          </w:tcPr>
          <w:p>
            <w:pPr>
              <w:rPr>
                <w:rFonts w:ascii="宋体" w:hAnsi="宋体" w:cs="宋体"/>
                <w:sz w:val="24"/>
                <w:szCs w:val="24"/>
              </w:rPr>
            </w:pPr>
            <w:r>
              <w:rPr>
                <w:rFonts w:hint="eastAsia" w:ascii="宋体" w:hAnsi="宋体" w:cs="宋体"/>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轿门开门限制装置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对重缓冲距</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420" w:type="dxa"/>
            <w:vAlign w:val="center"/>
          </w:tcPr>
          <w:p>
            <w:pPr>
              <w:rPr>
                <w:rFonts w:ascii="宋体" w:hAnsi="宋体" w:cs="宋体"/>
                <w:sz w:val="24"/>
                <w:szCs w:val="24"/>
              </w:rPr>
            </w:pPr>
            <w:r>
              <w:rPr>
                <w:rFonts w:hint="eastAsia" w:ascii="宋体" w:hAnsi="宋体" w:cs="宋体"/>
                <w:sz w:val="24"/>
                <w:szCs w:val="24"/>
              </w:rPr>
              <w:t>补偿链（绳）与轿厢、对重接合处</w:t>
            </w:r>
          </w:p>
        </w:tc>
        <w:tc>
          <w:tcPr>
            <w:tcW w:w="5220" w:type="dxa"/>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420" w:type="dxa"/>
            <w:vAlign w:val="center"/>
          </w:tcPr>
          <w:p>
            <w:pPr>
              <w:rPr>
                <w:rFonts w:ascii="宋体" w:hAnsi="宋体" w:cs="宋体"/>
                <w:sz w:val="24"/>
                <w:szCs w:val="24"/>
              </w:rPr>
            </w:pPr>
            <w:r>
              <w:rPr>
                <w:rFonts w:hint="eastAsia" w:ascii="宋体" w:hAnsi="宋体" w:cs="宋体"/>
                <w:sz w:val="24"/>
                <w:szCs w:val="24"/>
              </w:rPr>
              <w:t>上下极限开关</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表A-4  年度维保项目（内容）和要求&lt;含半月、季度及半年维保项目&gt;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控制柜接触器，继电器触点</w:t>
            </w:r>
          </w:p>
        </w:tc>
        <w:tc>
          <w:tcPr>
            <w:tcW w:w="5220" w:type="dxa"/>
            <w:vAlign w:val="center"/>
          </w:tcPr>
          <w:p>
            <w:pPr>
              <w:rPr>
                <w:rFonts w:ascii="宋体" w:hAnsi="宋体" w:cs="宋体"/>
                <w:sz w:val="24"/>
                <w:szCs w:val="24"/>
              </w:rPr>
            </w:pPr>
            <w:r>
              <w:rPr>
                <w:rFonts w:hint="eastAsia" w:ascii="宋体" w:hAnsi="宋体" w:cs="宋体"/>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制动器铁芯（柱塞）</w:t>
            </w:r>
          </w:p>
        </w:tc>
        <w:tc>
          <w:tcPr>
            <w:tcW w:w="5220" w:type="dxa"/>
            <w:vAlign w:val="center"/>
          </w:tcPr>
          <w:p>
            <w:pPr>
              <w:rPr>
                <w:rFonts w:ascii="宋体" w:hAnsi="宋体" w:cs="宋体"/>
                <w:sz w:val="24"/>
                <w:szCs w:val="24"/>
              </w:rPr>
            </w:pPr>
            <w:r>
              <w:rPr>
                <w:rFonts w:hint="eastAsia" w:ascii="宋体" w:hAnsi="宋体" w:cs="宋体"/>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制动器制动弹簧压缩量</w:t>
            </w:r>
          </w:p>
        </w:tc>
        <w:tc>
          <w:tcPr>
            <w:tcW w:w="5220" w:type="dxa"/>
            <w:vAlign w:val="center"/>
          </w:tcPr>
          <w:p>
            <w:pPr>
              <w:rPr>
                <w:rFonts w:ascii="宋体" w:hAnsi="宋体" w:cs="宋体"/>
                <w:sz w:val="24"/>
                <w:szCs w:val="24"/>
              </w:rPr>
            </w:pPr>
            <w:r>
              <w:rPr>
                <w:rFonts w:hint="eastAsia" w:ascii="宋体" w:hAnsi="宋体" w:cs="宋体"/>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导电回路绝缘性能测试</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限速器安全钳联动试验（对于使用年限不超过15年的限速器，每2年进行一次限速器动作速度校验；对于使用年限超过15年的限速器，每年进行一次限速器动作速度校验）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上行超速保护装置动作试验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轿厢意外移动保护装置动作试验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轿厢和对重的导轨支架</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随行电缆</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层门装置和地坎</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轿厢称重装置</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安全钳钳座</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轿底各安装螺栓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17</w:t>
            </w:r>
          </w:p>
        </w:tc>
        <w:tc>
          <w:tcPr>
            <w:tcW w:w="3420"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缓冲器</w:t>
            </w:r>
          </w:p>
        </w:tc>
        <w:tc>
          <w:tcPr>
            <w:tcW w:w="5220"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bl>
    <w:p>
      <w:pPr>
        <w:spacing w:line="360" w:lineRule="auto"/>
        <w:rPr>
          <w:rFonts w:ascii="黑体" w:hAnsi="宋体" w:eastAsia="黑体"/>
          <w:color w:val="000000"/>
          <w:sz w:val="24"/>
          <w:szCs w:val="24"/>
        </w:rPr>
      </w:pPr>
    </w:p>
    <w:p>
      <w:pPr>
        <w:spacing w:line="360" w:lineRule="auto"/>
        <w:rPr>
          <w:rFonts w:ascii="宋体" w:hAnsi="宋体" w:cs="宋体"/>
          <w:b/>
          <w:sz w:val="24"/>
          <w:szCs w:val="24"/>
        </w:rPr>
      </w:pPr>
      <w:r>
        <w:rPr>
          <w:rFonts w:hint="eastAsia" w:ascii="宋体" w:hAnsi="宋体" w:cs="宋体"/>
          <w:b/>
          <w:sz w:val="24"/>
          <w:szCs w:val="24"/>
        </w:rPr>
        <w:t>(五)电梯零部件更换要求：</w:t>
      </w:r>
    </w:p>
    <w:p>
      <w:pPr>
        <w:spacing w:line="360" w:lineRule="auto"/>
        <w:ind w:firstLine="480" w:firstLineChars="200"/>
        <w:rPr>
          <w:rFonts w:ascii="宋体" w:hAnsi="宋体" w:cs="宋体"/>
          <w:bCs/>
          <w:sz w:val="24"/>
          <w:szCs w:val="24"/>
        </w:rPr>
      </w:pPr>
      <w:r>
        <w:rPr>
          <w:rFonts w:hint="eastAsia" w:ascii="汉仪中黑简体" w:eastAsia="汉仪中黑简体"/>
          <w:sz w:val="24"/>
        </w:rPr>
        <w:t>1.为保证电梯的正常运行，投标人应做好电梯常用零部件备库管理，储存合理数量的专用备件和零件，当</w:t>
      </w:r>
      <w:r>
        <w:rPr>
          <w:rFonts w:hint="eastAsia" w:ascii="汉仪中黑简体" w:hAnsi="宋体" w:eastAsia="汉仪中黑简体"/>
          <w:sz w:val="24"/>
          <w:szCs w:val="30"/>
        </w:rPr>
        <w:t>发现电梯部件依靠日常维护保养不能安全运行</w:t>
      </w:r>
      <w:r>
        <w:rPr>
          <w:rFonts w:ascii="汉仪中黑简体" w:hAnsi="宋体" w:eastAsia="汉仪中黑简体"/>
          <w:sz w:val="24"/>
          <w:szCs w:val="30"/>
        </w:rPr>
        <w:t>，或者零件老化，可能导致电梯故障</w:t>
      </w:r>
      <w:r>
        <w:rPr>
          <w:rFonts w:hint="eastAsia" w:ascii="汉仪中黑简体" w:hAnsi="宋体" w:eastAsia="汉仪中黑简体"/>
          <w:sz w:val="24"/>
          <w:szCs w:val="30"/>
        </w:rPr>
        <w:t>时，</w:t>
      </w:r>
      <w:r>
        <w:rPr>
          <w:rFonts w:hint="eastAsia" w:ascii="汉仪中黑简体" w:eastAsia="汉仪中黑简体"/>
          <w:sz w:val="24"/>
        </w:rPr>
        <w:t>对500元以下相应部件进行</w:t>
      </w:r>
      <w:r>
        <w:rPr>
          <w:rFonts w:hint="eastAsia" w:ascii="汉仪中黑简体" w:hAnsi="宋体" w:eastAsia="汉仪中黑简体"/>
          <w:sz w:val="24"/>
          <w:szCs w:val="30"/>
        </w:rPr>
        <w:t>免费</w:t>
      </w:r>
      <w:r>
        <w:rPr>
          <w:rFonts w:hint="eastAsia" w:ascii="汉仪中黑简体" w:eastAsia="汉仪中黑简体"/>
          <w:sz w:val="24"/>
        </w:rPr>
        <w:t>修理或更换</w:t>
      </w:r>
      <w:r>
        <w:rPr>
          <w:rFonts w:hint="eastAsia" w:ascii="宋体" w:hAnsi="宋体" w:cs="宋体"/>
          <w:bCs/>
          <w:sz w:val="24"/>
          <w:szCs w:val="24"/>
        </w:rPr>
        <w:t>。</w:t>
      </w:r>
    </w:p>
    <w:p>
      <w:pPr>
        <w:spacing w:line="360" w:lineRule="auto"/>
        <w:ind w:firstLine="480" w:firstLineChars="200"/>
        <w:rPr>
          <w:rFonts w:ascii="汉仪中黑简体" w:hAnsi="宋体" w:eastAsia="汉仪中黑简体"/>
          <w:sz w:val="24"/>
          <w:szCs w:val="30"/>
        </w:rPr>
      </w:pPr>
      <w:r>
        <w:rPr>
          <w:rFonts w:hint="eastAsia" w:ascii="汉仪中黑简体" w:hAnsi="宋体" w:eastAsia="汉仪中黑简体"/>
          <w:sz w:val="24"/>
          <w:szCs w:val="30"/>
        </w:rPr>
        <w:t>2.中标单位按要求定期巡视电梯运行情况，发现故障、异常及时组织维修处理，常用零配件的更换不得超过24小时，大型部件的更换不得超过表1的采购周期，更换的配件必须与原配件同品牌。</w:t>
      </w:r>
    </w:p>
    <w:p>
      <w:pPr>
        <w:spacing w:line="360" w:lineRule="auto"/>
        <w:ind w:firstLine="1680" w:firstLineChars="700"/>
        <w:rPr>
          <w:rFonts w:ascii="宋体" w:hAnsi="宋体" w:cs="宋体"/>
          <w:bCs/>
          <w:sz w:val="24"/>
          <w:szCs w:val="24"/>
        </w:rPr>
      </w:pPr>
      <w:r>
        <w:rPr>
          <w:rFonts w:hint="eastAsia" w:ascii="宋体" w:hAnsi="宋体" w:cs="宋体"/>
          <w:bCs/>
          <w:sz w:val="24"/>
          <w:szCs w:val="24"/>
        </w:rPr>
        <w:t>表1《电梯大型部件维修更换响应表》</w:t>
      </w:r>
    </w:p>
    <w:tbl>
      <w:tblPr>
        <w:tblStyle w:val="14"/>
        <w:tblW w:w="0" w:type="auto"/>
        <w:tblInd w:w="-10" w:type="dxa"/>
        <w:tblLayout w:type="fixed"/>
        <w:tblCellMar>
          <w:top w:w="0" w:type="dxa"/>
          <w:left w:w="0" w:type="dxa"/>
          <w:bottom w:w="0" w:type="dxa"/>
          <w:right w:w="0" w:type="dxa"/>
        </w:tblCellMar>
      </w:tblPr>
      <w:tblGrid>
        <w:gridCol w:w="1541"/>
        <w:gridCol w:w="2605"/>
        <w:gridCol w:w="3409"/>
      </w:tblGrid>
      <w:tr>
        <w:tblPrEx>
          <w:tblCellMar>
            <w:top w:w="0" w:type="dxa"/>
            <w:left w:w="0" w:type="dxa"/>
            <w:bottom w:w="0" w:type="dxa"/>
            <w:right w:w="0" w:type="dxa"/>
          </w:tblCellMar>
        </w:tblPrEx>
        <w:trPr>
          <w:trHeight w:val="9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序号</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元器件名称</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采购周期</w:t>
            </w:r>
          </w:p>
        </w:tc>
      </w:tr>
      <w:tr>
        <w:tblPrEx>
          <w:tblCellMar>
            <w:top w:w="0" w:type="dxa"/>
            <w:left w:w="0" w:type="dxa"/>
            <w:bottom w:w="0" w:type="dxa"/>
            <w:right w:w="0" w:type="dxa"/>
          </w:tblCellMar>
        </w:tblPrEx>
        <w:trPr>
          <w:trHeight w:val="51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返绳轮</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395"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汉仪中黑简体" w:hAnsi="宋体" w:eastAsia="汉仪中黑简体"/>
                <w:sz w:val="24"/>
                <w:szCs w:val="30"/>
              </w:rPr>
            </w:pPr>
            <w:r>
              <w:rPr>
                <w:rFonts w:hint="eastAsia" w:ascii="汉仪中黑简体" w:hAnsi="宋体" w:eastAsia="汉仪中黑简体"/>
                <w:sz w:val="24"/>
                <w:szCs w:val="30"/>
              </w:rPr>
              <w:t>限速器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≦6周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钢丝绳</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4</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缓冲器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r>
        <w:tblPrEx>
          <w:tblCellMar>
            <w:top w:w="0" w:type="dxa"/>
            <w:left w:w="0" w:type="dxa"/>
            <w:bottom w:w="0" w:type="dxa"/>
            <w:right w:w="0" w:type="dxa"/>
          </w:tblCellMar>
        </w:tblPrEx>
        <w:trPr>
          <w:trHeight w:val="54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补偿链</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bl>
    <w:p>
      <w:pPr>
        <w:spacing w:line="360" w:lineRule="auto"/>
        <w:rPr>
          <w:rFonts w:ascii="宋体" w:hAnsi="宋体" w:cs="宋体"/>
          <w:bCs/>
          <w:sz w:val="24"/>
          <w:szCs w:val="24"/>
        </w:rPr>
      </w:pPr>
      <w:r>
        <w:rPr>
          <w:rFonts w:hint="eastAsia" w:ascii="宋体" w:hAnsi="宋体" w:cs="宋体"/>
          <w:bCs/>
          <w:sz w:val="24"/>
          <w:szCs w:val="24"/>
        </w:rPr>
        <w:t>3.由于招标方原因或者使用不当导致的配件损坏，在招标方书面同意后，中标方应及时更换。</w:t>
      </w:r>
    </w:p>
    <w:p>
      <w:pPr>
        <w:spacing w:line="360" w:lineRule="auto"/>
        <w:rPr>
          <w:b/>
          <w:sz w:val="24"/>
          <w:szCs w:val="24"/>
        </w:rPr>
      </w:pPr>
      <w:r>
        <w:rPr>
          <w:rFonts w:hint="eastAsia"/>
          <w:b/>
          <w:sz w:val="24"/>
          <w:szCs w:val="24"/>
        </w:rPr>
        <w:t>（六）维保付款事项及要求：</w:t>
      </w:r>
    </w:p>
    <w:p>
      <w:pPr>
        <w:pStyle w:val="4"/>
        <w:ind w:firstLine="480" w:firstLineChars="200"/>
        <w:rPr>
          <w:rFonts w:ascii="汉仪中黑简体" w:hAnsi="宋体" w:eastAsia="汉仪中黑简体" w:cs="Times New Roman"/>
          <w:color w:val="0000FF"/>
          <w:szCs w:val="30"/>
          <w:lang w:eastAsia="zh-CN"/>
        </w:rPr>
      </w:pPr>
      <w:r>
        <w:rPr>
          <w:rFonts w:hint="eastAsia" w:ascii="汉仪中黑简体" w:hAnsi="宋体" w:eastAsia="汉仪中黑简体" w:cs="Times New Roman"/>
          <w:color w:val="0000FF"/>
          <w:szCs w:val="30"/>
          <w:lang w:eastAsia="zh-CN"/>
        </w:rPr>
        <w:t>1、维保期内，甲方每季度对乙方的响应速度、服务态度、服务质量等方面进行考核，根据乙方对电梯维护情况，执行维保付款事项。</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2、维保期内，未按国家相关规定提供电梯维保工作或未认真填写相关记录，发现一次处当季应支付维保款项的千分之二，当季发现第二次加倍，以此类推。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3、维保期内，发生电梯关人事件，乙方未在15分钟内到达现场并处理故障，发现一次处当季应支付维保款项的千分之一，当季发现第二次加倍，以此类推。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4、维保期内，若发现更换的零配件以次充好，假冒伪劣，处当季应支付维保款项的百分之一，且不予支付零配件费用，已支付的从当季应付维保款项中扣除。</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5、维保期内，发现电梯一周以内同一故障发生3次（招标方原因导致的除外），处当季应支付维保款项的千分之一。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6、维保期内，电梯500以下零部件损坏后，中标方未在24小时内处理，处当季应支付维保款项的百分之一。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7、维保期内，电梯大型零部件损坏后，中标方未响应表1的时间处理，处当季应支付维保款项的百分之一。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8、如因乙方单方面违约原因造成合同无法继续的，乙方应向甲方支付合同总价50%的违约赔偿金。</w:t>
      </w:r>
      <w:r>
        <w:rPr>
          <w:rFonts w:ascii="汉仪中黑简体" w:hAnsi="宋体" w:eastAsia="汉仪中黑简体"/>
          <w:color w:val="0000FF"/>
          <w:sz w:val="24"/>
          <w:szCs w:val="30"/>
        </w:rPr>
        <w:t>给甲方造成损失的，若违约赔偿金不足以弥补甲方的损失，乙方还应就差额部分向甲方承担损害赔偿责任。</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9、乙方提供的应急人员24小时服务电话号码为唯一联系方式，乙方如有变更应书面通知甲方，否则，由此引起的一切责任全部由乙方承担。</w:t>
      </w:r>
    </w:p>
    <w:p>
      <w:pPr>
        <w:rPr>
          <w:rFonts w:ascii="汉仪中黑简体" w:hAnsi="宋体" w:eastAsia="汉仪中黑简体"/>
          <w:sz w:val="24"/>
          <w:szCs w:val="30"/>
        </w:rPr>
      </w:pPr>
    </w:p>
    <w:p>
      <w:pPr>
        <w:rPr>
          <w:b/>
          <w:sz w:val="24"/>
          <w:szCs w:val="24"/>
        </w:rPr>
      </w:pPr>
    </w:p>
    <w:p/>
    <w:p>
      <w:pPr>
        <w:spacing w:line="420" w:lineRule="exact"/>
        <w:ind w:firstLine="280" w:firstLineChars="100"/>
        <w:outlineLvl w:val="0"/>
      </w:pPr>
    </w:p>
    <w:p>
      <w:pPr>
        <w:spacing w:line="420" w:lineRule="exact"/>
        <w:ind w:firstLine="440" w:firstLineChars="100"/>
        <w:outlineLvl w:val="0"/>
        <w:rPr>
          <w:rFonts w:ascii="方正黑体_GBK" w:eastAsia="方正黑体_GBK"/>
          <w:sz w:val="44"/>
          <w:szCs w:val="28"/>
        </w:rPr>
      </w:pPr>
    </w:p>
    <w:p>
      <w:pPr>
        <w:spacing w:line="480" w:lineRule="exact"/>
        <w:ind w:firstLine="220" w:firstLineChars="50"/>
        <w:jc w:val="center"/>
        <w:outlineLvl w:val="0"/>
        <w:rPr>
          <w:rFonts w:ascii="方正小标宋_GBK" w:eastAsia="方正小标宋_GBK"/>
          <w:sz w:val="44"/>
          <w:szCs w:val="28"/>
        </w:rPr>
      </w:pPr>
    </w:p>
    <w:p/>
    <w:p/>
    <w:p/>
    <w:p/>
    <w:p/>
    <w:p/>
    <w:p/>
    <w:p/>
    <w:p/>
    <w:p/>
    <w:p/>
    <w:p/>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r>
        <w:rPr>
          <w:rFonts w:hint="eastAsia" w:ascii="宋体" w:hAnsi="宋体" w:cs="仿宋"/>
          <w:b/>
          <w:bCs/>
          <w:sz w:val="36"/>
          <w:szCs w:val="36"/>
        </w:rPr>
        <w:t>第三篇  项目商务要求</w:t>
      </w:r>
    </w:p>
    <w:p>
      <w:pPr>
        <w:pStyle w:val="3"/>
        <w:spacing w:before="0" w:after="0" w:line="440" w:lineRule="exact"/>
        <w:rPr>
          <w:rFonts w:ascii="黑体" w:hAnsi="宋体" w:eastAsia="黑体"/>
          <w:color w:val="000000"/>
          <w:sz w:val="24"/>
          <w:szCs w:val="24"/>
        </w:rPr>
      </w:pPr>
      <w:bookmarkStart w:id="15" w:name="_Toc344475120"/>
      <w:bookmarkStart w:id="16" w:name="_Toc415471837"/>
      <w:r>
        <w:rPr>
          <w:rFonts w:hint="eastAsia" w:ascii="黑体" w:hAnsi="宋体" w:eastAsia="黑体"/>
          <w:color w:val="000000"/>
          <w:sz w:val="24"/>
          <w:szCs w:val="24"/>
        </w:rPr>
        <w:t>一、服务时间、地点及验收方式</w:t>
      </w:r>
      <w:bookmarkEnd w:id="15"/>
      <w:bookmarkEnd w:id="16"/>
    </w:p>
    <w:p>
      <w:pPr>
        <w:pStyle w:val="8"/>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（一）服务时间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合同签订后壹年。合同期满后，经采购人考核合格，采购人可按照中标金额及要求与中标人续签合同</w:t>
      </w:r>
      <w:r>
        <w:rPr>
          <w:rFonts w:ascii="黑体" w:hAnsi="宋体" w:eastAsia="黑体"/>
          <w:color w:val="000000"/>
          <w:sz w:val="24"/>
          <w:szCs w:val="24"/>
        </w:rPr>
        <w:t xml:space="preserve">, </w:t>
      </w:r>
      <w:r>
        <w:rPr>
          <w:rFonts w:hint="eastAsia" w:ascii="黑体" w:hAnsi="宋体" w:eastAsia="黑体"/>
          <w:color w:val="000000"/>
          <w:sz w:val="24"/>
          <w:szCs w:val="24"/>
        </w:rPr>
        <w:t>但续签年限不超过</w:t>
      </w:r>
      <w:r>
        <w:rPr>
          <w:rFonts w:ascii="黑体" w:hAnsi="宋体" w:eastAsia="黑体"/>
          <w:color w:val="000000"/>
          <w:sz w:val="24"/>
          <w:szCs w:val="24"/>
        </w:rPr>
        <w:t>2</w:t>
      </w:r>
      <w:r>
        <w:rPr>
          <w:rFonts w:hint="eastAsia" w:ascii="黑体" w:hAnsi="宋体" w:eastAsia="黑体"/>
          <w:color w:val="000000"/>
          <w:sz w:val="24"/>
          <w:szCs w:val="24"/>
        </w:rPr>
        <w:t>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（二）电梯维保服务范围及地点</w:t>
      </w:r>
    </w:p>
    <w:p>
      <w:pPr>
        <w:spacing w:line="400" w:lineRule="exact"/>
        <w:ind w:firstLine="240" w:firstLineChars="100"/>
        <w:rPr>
          <w:rFonts w:ascii="黑体" w:hAnsi="宋体" w:eastAsia="黑体"/>
          <w:color w:val="000000"/>
          <w:sz w:val="24"/>
          <w:szCs w:val="24"/>
          <w:u w:val="single"/>
        </w:rPr>
      </w:pPr>
      <w:r>
        <w:rPr>
          <w:rFonts w:hint="eastAsia" w:ascii="黑体" w:hAnsi="宋体" w:eastAsia="黑体"/>
          <w:color w:val="000000"/>
          <w:sz w:val="24"/>
          <w:szCs w:val="24"/>
        </w:rPr>
        <w:t>重庆市江北区中医院康复大楼电梯、扶梯。</w:t>
      </w:r>
    </w:p>
    <w:p>
      <w:pPr>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（三）验收方式</w:t>
      </w:r>
    </w:p>
    <w:p>
      <w:pPr>
        <w:spacing w:line="400" w:lineRule="exact"/>
        <w:ind w:firstLine="480" w:firstLineChars="200"/>
        <w:rPr>
          <w:rFonts w:ascii="黑体" w:hAnsi="宋体" w:eastAsia="黑体"/>
          <w:color w:val="000000"/>
          <w:sz w:val="24"/>
        </w:rPr>
      </w:pPr>
      <w:r>
        <w:rPr>
          <w:rFonts w:hint="eastAsia" w:ascii="黑体" w:eastAsia="黑体"/>
          <w:color w:val="000000"/>
          <w:sz w:val="24"/>
        </w:rPr>
        <w:t>1、</w:t>
      </w:r>
      <w:r>
        <w:rPr>
          <w:rFonts w:hint="eastAsia" w:ascii="黑体" w:hAnsi="宋体" w:eastAsia="黑体"/>
          <w:color w:val="000000"/>
          <w:sz w:val="24"/>
          <w:szCs w:val="24"/>
        </w:rPr>
        <w:t>对于维保范围内项目，在维保期内由采购人代表对电梯进行随机抽查，核实，并进行电梯试验，严格按照“电梯维保服务要求”进行验收。</w:t>
      </w:r>
    </w:p>
    <w:p>
      <w:pPr>
        <w:pStyle w:val="3"/>
        <w:spacing w:before="0" w:after="0" w:line="560" w:lineRule="exact"/>
        <w:ind w:firstLine="480" w:firstLineChars="200"/>
        <w:rPr>
          <w:rFonts w:ascii="黑体" w:hAnsi="宋体" w:eastAsia="黑体"/>
          <w:b w:val="0"/>
          <w:bCs w:val="0"/>
          <w:color w:val="000000"/>
          <w:sz w:val="24"/>
          <w:szCs w:val="24"/>
        </w:rPr>
      </w:pPr>
      <w:r>
        <w:rPr>
          <w:rFonts w:hint="eastAsia" w:ascii="黑体" w:hAnsi="宋体" w:eastAsia="黑体"/>
          <w:b w:val="0"/>
          <w:bCs w:val="0"/>
          <w:color w:val="000000"/>
          <w:sz w:val="24"/>
          <w:szCs w:val="24"/>
        </w:rPr>
        <w:t>2、由采购人组织相关部门和专业技术人员按签订的合同进行验收。</w:t>
      </w:r>
    </w:p>
    <w:p>
      <w:pPr>
        <w:pStyle w:val="3"/>
        <w:spacing w:before="0" w:after="0" w:line="400" w:lineRule="exact"/>
        <w:rPr>
          <w:rFonts w:ascii="黑体" w:hAnsi="宋体" w:eastAsia="黑体"/>
          <w:color w:val="000000"/>
          <w:sz w:val="24"/>
          <w:szCs w:val="24"/>
        </w:rPr>
      </w:pPr>
      <w:bookmarkStart w:id="17" w:name="_Toc415471838"/>
      <w:bookmarkStart w:id="18" w:name="_Toc344475122"/>
      <w:r>
        <w:rPr>
          <w:rFonts w:hint="eastAsia" w:ascii="黑体" w:hAnsi="宋体" w:eastAsia="黑体"/>
          <w:color w:val="000000"/>
          <w:sz w:val="24"/>
          <w:szCs w:val="24"/>
        </w:rPr>
        <w:t>二、付款方式</w:t>
      </w:r>
      <w:bookmarkEnd w:id="17"/>
      <w:bookmarkEnd w:id="18"/>
    </w:p>
    <w:p>
      <w:pPr>
        <w:spacing w:line="420" w:lineRule="exact"/>
        <w:ind w:firstLine="480" w:firstLineChars="200"/>
        <w:rPr>
          <w:rFonts w:ascii="黑体" w:hAnsi="宋体" w:eastAsia="黑体"/>
          <w:color w:val="0000FF"/>
          <w:sz w:val="24"/>
          <w:szCs w:val="24"/>
        </w:rPr>
      </w:pPr>
      <w:r>
        <w:rPr>
          <w:rFonts w:hint="eastAsia" w:ascii="黑体" w:hAnsi="宋体" w:eastAsia="黑体"/>
          <w:color w:val="0000FF"/>
          <w:sz w:val="24"/>
          <w:szCs w:val="24"/>
        </w:rPr>
        <w:t>1．合同签订前，成交供应商须向采购人提交中标金额5%的履约保证金。</w:t>
      </w:r>
    </w:p>
    <w:p>
      <w:pPr>
        <w:pStyle w:val="29"/>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一年内分期付款，合同签订进场后，以维保服务进度满半年支付全部款项的50%。进度款支付条件：在维保服务期间，维保服务商提供服务未违反招标要求以及合同约定且验收合格。合同期满，验收合格，15个工作日内支付当年全部余款（如当年有扣款的，则从应付合同款中直接扣除）。</w:t>
      </w:r>
    </w:p>
    <w:p>
      <w:pPr>
        <w:pStyle w:val="3"/>
        <w:spacing w:before="0" w:after="0" w:line="400" w:lineRule="exact"/>
        <w:rPr>
          <w:rFonts w:ascii="黑体" w:hAnsi="宋体" w:eastAsia="黑体"/>
          <w:color w:val="000000"/>
          <w:sz w:val="24"/>
          <w:szCs w:val="24"/>
        </w:rPr>
      </w:pPr>
      <w:bookmarkStart w:id="19" w:name="_Toc415471839"/>
      <w:bookmarkStart w:id="20" w:name="_Toc344475123"/>
      <w:r>
        <w:rPr>
          <w:rFonts w:hint="eastAsia" w:ascii="黑体" w:hAnsi="宋体" w:eastAsia="黑体"/>
          <w:color w:val="000000"/>
          <w:sz w:val="24"/>
          <w:szCs w:val="24"/>
        </w:rPr>
        <w:t>三、知识产权</w:t>
      </w:r>
      <w:bookmarkEnd w:id="19"/>
      <w:bookmarkEnd w:id="20"/>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（注：若涉及软件开发等服务类项目知识产权的，知识产权归采购人所有）。</w:t>
      </w:r>
    </w:p>
    <w:p>
      <w:pPr>
        <w:pStyle w:val="3"/>
        <w:spacing w:before="0" w:after="0" w:line="400" w:lineRule="exact"/>
        <w:rPr>
          <w:rFonts w:ascii="黑体" w:hAnsi="宋体" w:eastAsia="黑体"/>
          <w:color w:val="000000"/>
          <w:sz w:val="24"/>
          <w:szCs w:val="24"/>
        </w:rPr>
      </w:pPr>
      <w:bookmarkStart w:id="21" w:name="_Toc415471840"/>
      <w:bookmarkStart w:id="22" w:name="_Toc344475124"/>
      <w:r>
        <w:rPr>
          <w:rFonts w:hint="eastAsia" w:ascii="黑体" w:hAnsi="宋体" w:eastAsia="黑体"/>
          <w:color w:val="000000"/>
          <w:sz w:val="24"/>
          <w:szCs w:val="24"/>
        </w:rPr>
        <w:t>四、培训</w:t>
      </w:r>
      <w:bookmarkEnd w:id="21"/>
      <w:bookmarkEnd w:id="22"/>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成交供应商应免费进行现场培训，直到用户有关人员可以正常使用操作各电梯。</w:t>
      </w:r>
    </w:p>
    <w:p>
      <w:pPr>
        <w:pStyle w:val="3"/>
        <w:spacing w:before="0" w:after="0" w:line="400" w:lineRule="exact"/>
        <w:rPr>
          <w:rFonts w:ascii="黑体" w:hAnsi="宋体" w:eastAsia="黑体"/>
          <w:color w:val="000000"/>
          <w:sz w:val="24"/>
          <w:szCs w:val="24"/>
        </w:rPr>
      </w:pPr>
      <w:bookmarkStart w:id="23" w:name="_Toc415471842"/>
      <w:r>
        <w:rPr>
          <w:rFonts w:hint="eastAsia" w:ascii="黑体" w:hAnsi="宋体" w:eastAsia="黑体"/>
          <w:color w:val="000000"/>
          <w:sz w:val="24"/>
          <w:szCs w:val="24"/>
        </w:rPr>
        <w:t>五、</w:t>
      </w:r>
      <w:bookmarkStart w:id="24" w:name="_Toc344475125"/>
      <w:r>
        <w:rPr>
          <w:rFonts w:hint="eastAsia" w:ascii="黑体" w:hAnsi="宋体" w:eastAsia="黑体"/>
          <w:color w:val="000000"/>
          <w:sz w:val="24"/>
          <w:szCs w:val="24"/>
        </w:rPr>
        <w:t>其他</w:t>
      </w:r>
      <w:bookmarkEnd w:id="23"/>
    </w:p>
    <w:bookmarkEnd w:id="24"/>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（一）供应商必须在响应文件中对以上条款和服务承诺明确列出，承诺内容必须达到本篇及竞争性磋商其他条款的要求。</w:t>
      </w:r>
    </w:p>
    <w:p>
      <w:pPr>
        <w:snapToGrid w:val="0"/>
        <w:spacing w:line="400" w:lineRule="exact"/>
        <w:ind w:firstLine="540"/>
        <w:rPr>
          <w:rFonts w:ascii="黑体" w:eastAsia="黑体"/>
          <w:color w:val="000000"/>
          <w:sz w:val="24"/>
          <w:szCs w:val="24"/>
        </w:rPr>
      </w:pPr>
      <w:r>
        <w:rPr>
          <w:rFonts w:hint="eastAsia" w:ascii="黑体" w:hAnsi="宋体" w:eastAsia="黑体"/>
          <w:color w:val="000000"/>
          <w:sz w:val="24"/>
          <w:szCs w:val="24"/>
        </w:rPr>
        <w:t>（二）其他未尽事宜由供需双方在采购合同中详细约定。</w:t>
      </w:r>
    </w:p>
    <w:p/>
    <w:p>
      <w:pPr>
        <w:jc w:val="center"/>
        <w:rPr>
          <w:rFonts w:ascii="宋体" w:hAnsi="宋体" w:cs="仿宋"/>
          <w:b/>
          <w:bCs/>
          <w:sz w:val="36"/>
          <w:szCs w:val="36"/>
        </w:rPr>
      </w:pPr>
      <w:bookmarkStart w:id="25" w:name="_Toc12973747"/>
    </w:p>
    <w:p>
      <w:pPr>
        <w:jc w:val="center"/>
        <w:rPr>
          <w:rFonts w:ascii="宋体" w:hAnsi="宋体" w:cs="仿宋"/>
          <w:b/>
          <w:bCs/>
          <w:sz w:val="36"/>
          <w:szCs w:val="36"/>
        </w:rPr>
      </w:pPr>
    </w:p>
    <w:p>
      <w:pPr>
        <w:jc w:val="center"/>
        <w:rPr>
          <w:rFonts w:ascii="宋体" w:hAnsi="宋体" w:cs="仿宋"/>
          <w:b/>
          <w:bCs/>
          <w:sz w:val="36"/>
          <w:szCs w:val="36"/>
        </w:rPr>
      </w:pPr>
    </w:p>
    <w:p>
      <w:pPr>
        <w:jc w:val="center"/>
      </w:pPr>
      <w:r>
        <w:rPr>
          <w:rFonts w:hint="eastAsia" w:ascii="宋体" w:hAnsi="宋体" w:cs="仿宋"/>
          <w:b/>
          <w:bCs/>
          <w:sz w:val="36"/>
          <w:szCs w:val="36"/>
        </w:rPr>
        <w:t>第四篇  资格审查及评标办法</w:t>
      </w:r>
      <w:bookmarkEnd w:id="25"/>
    </w:p>
    <w:p>
      <w:pPr>
        <w:spacing w:line="360" w:lineRule="auto"/>
        <w:rPr>
          <w:b/>
          <w:sz w:val="24"/>
          <w:szCs w:val="24"/>
        </w:rPr>
      </w:pPr>
      <w:r>
        <w:rPr>
          <w:rFonts w:hint="eastAsia"/>
          <w:b/>
          <w:sz w:val="24"/>
          <w:szCs w:val="24"/>
        </w:rPr>
        <w:t>一、资格审查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依据政府采购相关法律法规规定,由采购人或采购代理机构对投标文件中的资格证明文件进行审查。资格审查资料表如下：</w:t>
      </w:r>
    </w:p>
    <w:tbl>
      <w:tblPr>
        <w:tblStyle w:val="1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0"/>
        <w:gridCol w:w="3190"/>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8"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900"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检查因素</w:t>
            </w:r>
          </w:p>
        </w:tc>
        <w:tc>
          <w:tcPr>
            <w:tcW w:w="4419" w:type="dxa"/>
            <w:vAlign w:val="center"/>
          </w:tcPr>
          <w:p>
            <w:pPr>
              <w:jc w:val="center"/>
              <w:rPr>
                <w:rFonts w:ascii="宋体" w:hAnsi="宋体" w:cs="仿宋"/>
                <w:b/>
                <w:sz w:val="21"/>
                <w:szCs w:val="21"/>
                <w:lang w:val="zh-CN"/>
              </w:rPr>
            </w:pPr>
            <w:r>
              <w:rPr>
                <w:rFonts w:hint="eastAsia" w:ascii="宋体" w:hAnsi="宋体" w:cs="仿宋"/>
                <w:b/>
                <w:sz w:val="21"/>
                <w:szCs w:val="21"/>
                <w:lang w:val="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pPr>
              <w:jc w:val="center"/>
              <w:rPr>
                <w:rFonts w:ascii="宋体" w:hAnsi="宋体" w:cs="仿宋"/>
                <w:sz w:val="21"/>
                <w:szCs w:val="21"/>
                <w:lang w:val="zh-CN"/>
              </w:rPr>
            </w:pPr>
            <w:r>
              <w:rPr>
                <w:rFonts w:hint="eastAsia" w:ascii="宋体" w:hAnsi="宋体" w:cs="仿宋"/>
                <w:sz w:val="21"/>
                <w:szCs w:val="21"/>
                <w:lang w:val="zh-CN"/>
              </w:rPr>
              <w:t>1</w:t>
            </w:r>
          </w:p>
        </w:tc>
        <w:tc>
          <w:tcPr>
            <w:tcW w:w="710" w:type="dxa"/>
            <w:vMerge w:val="restart"/>
            <w:vAlign w:val="center"/>
          </w:tcPr>
          <w:p>
            <w:pPr>
              <w:rPr>
                <w:rFonts w:ascii="宋体" w:hAnsi="宋体" w:cs="仿宋"/>
                <w:sz w:val="21"/>
                <w:szCs w:val="21"/>
                <w:lang w:val="zh-CN"/>
              </w:rPr>
            </w:pPr>
            <w:r>
              <w:rPr>
                <w:rFonts w:hint="eastAsia" w:ascii="宋体" w:hAnsi="宋体" w:cs="仿宋"/>
                <w:sz w:val="21"/>
                <w:szCs w:val="21"/>
                <w:lang w:val="zh-CN"/>
              </w:rPr>
              <w:t>投标人应符合的基本资格条件</w:t>
            </w: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（1）具有独立承担民事责任的能力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投标人法人营业执照（副本）或事业单位法人证书（副本）或个体工商户营业执照或有效的自然人身份证明、组织机构代码证复印件（注</w:t>
            </w:r>
            <w:r>
              <w:rPr>
                <w:rFonts w:hint="eastAsia" w:ascii="宋体" w:hAnsi="宋体" w:cs="仿宋"/>
                <w:sz w:val="21"/>
                <w:szCs w:val="21"/>
                <w:lang w:val="zh-CN"/>
              </w:rPr>
              <w:fldChar w:fldCharType="begin"/>
            </w:r>
            <w:r>
              <w:rPr>
                <w:rFonts w:hint="eastAsia" w:ascii="宋体" w:hAnsi="宋体" w:cs="仿宋"/>
                <w:sz w:val="21"/>
                <w:szCs w:val="21"/>
                <w:lang w:val="zh-CN"/>
              </w:rPr>
              <w:instrText xml:space="preserve"> eq \o\ac(○,2)</w:instrText>
            </w:r>
            <w:r>
              <w:rPr>
                <w:rFonts w:hint="eastAsia" w:ascii="宋体" w:hAnsi="宋体" w:cs="仿宋"/>
                <w:sz w:val="21"/>
                <w:szCs w:val="21"/>
                <w:lang w:val="zh-CN"/>
              </w:rPr>
              <w:fldChar w:fldCharType="end"/>
            </w:r>
            <w:r>
              <w:rPr>
                <w:rFonts w:hint="eastAsia" w:ascii="宋体" w:hAnsi="宋体" w:cs="仿宋"/>
                <w:sz w:val="21"/>
                <w:szCs w:val="21"/>
                <w:lang w:val="zh-CN"/>
              </w:rPr>
              <w:t xml:space="preserve">）； </w:t>
            </w:r>
          </w:p>
          <w:p>
            <w:pPr>
              <w:snapToGrid w:val="0"/>
              <w:rPr>
                <w:rFonts w:ascii="宋体" w:hAnsi="宋体" w:cs="仿宋"/>
                <w:sz w:val="21"/>
                <w:szCs w:val="21"/>
                <w:lang w:val="zh-CN"/>
              </w:rPr>
            </w:pPr>
            <w:r>
              <w:rPr>
                <w:rFonts w:hint="eastAsia" w:ascii="宋体" w:hAnsi="宋体" w:cs="仿宋"/>
                <w:sz w:val="21"/>
                <w:szCs w:val="21"/>
                <w:lang w:val="zh-CN"/>
              </w:rPr>
              <w:t>投标人法定代表人身份证明和法定代表人授权代表委托书。</w:t>
            </w:r>
          </w:p>
          <w:p>
            <w:pPr>
              <w:snapToGrid w:val="0"/>
              <w:rPr>
                <w:rFonts w:ascii="宋体" w:hAnsi="宋体" w:cs="仿宋"/>
                <w:sz w:val="21"/>
                <w:szCs w:val="21"/>
                <w:lang w:val="zh-CN"/>
              </w:rPr>
            </w:pPr>
            <w:r>
              <w:rPr>
                <w:rFonts w:hint="eastAsia" w:ascii="宋体" w:hAnsi="宋体" w:cs="仿宋"/>
                <w:sz w:val="21"/>
                <w:szCs w:val="21"/>
                <w:lang w:val="zh-CN"/>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提供</w:t>
            </w:r>
            <w:r>
              <w:rPr>
                <w:rFonts w:hint="eastAsia" w:ascii="宋体" w:hAnsi="宋体" w:cs="仿宋"/>
                <w:sz w:val="21"/>
                <w:szCs w:val="21"/>
                <w:u w:val="single"/>
                <w:lang w:val="zh-CN"/>
              </w:rPr>
              <w:t>2019</w:t>
            </w:r>
            <w:r>
              <w:rPr>
                <w:rFonts w:hint="eastAsia" w:ascii="宋体" w:hAnsi="宋体" w:cs="仿宋"/>
                <w:sz w:val="21"/>
                <w:szCs w:val="21"/>
                <w:lang w:val="zh-CN"/>
              </w:rPr>
              <w:t>年度财务状况报告（表）或其基本帐户开户银行出具的资信证明复印件加盖投标人公章，本年度新成立或成立不满一年的组织无法提供财务状况报告（表）的，可提供银行出具的资信证明复印件加盖投标人公章。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1.税务登记证（副本）复印件加盖投标人公章（注</w:t>
            </w:r>
            <w:r>
              <w:rPr>
                <w:rFonts w:hint="eastAsia" w:ascii="宋体" w:hAnsi="宋体" w:cs="仿宋"/>
                <w:kern w:val="0"/>
                <w:sz w:val="24"/>
                <w:szCs w:val="24"/>
              </w:rPr>
              <w:t>①</w:t>
            </w:r>
            <w:r>
              <w:rPr>
                <w:rFonts w:hint="eastAsia" w:ascii="宋体" w:hAnsi="宋体" w:cs="仿宋"/>
                <w:sz w:val="21"/>
                <w:szCs w:val="21"/>
                <w:lang w:val="zh-CN"/>
              </w:rPr>
              <w:t>）2.缴纳社会保障金的证明材料复印件加盖投标人公章（缴纳社会保障金的证明材料指：社会保险登记证（注</w:t>
            </w:r>
            <w:r>
              <w:rPr>
                <w:rFonts w:hint="eastAsia" w:ascii="宋体" w:hAnsi="宋体" w:cs="仿宋"/>
                <w:kern w:val="0"/>
                <w:sz w:val="24"/>
                <w:szCs w:val="24"/>
              </w:rPr>
              <w:t>①</w:t>
            </w:r>
            <w:r>
              <w:rPr>
                <w:rFonts w:hint="eastAsia" w:ascii="宋体" w:hAnsi="宋体" w:cs="仿宋"/>
                <w:sz w:val="21"/>
                <w:szCs w:val="21"/>
                <w:lang w:val="zh-CN"/>
              </w:rPr>
              <w:t>）或缴纳社会保险的凭据（专用收据或社会保险缴纳清单）。依法免税或不需要缴纳社会保障资金的投标人，应提供相应文件证明其依法免税或不需要缴纳社会保障资金。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（5）参加政府采购活动前三年内，在经营活动中没有重大违法记录（注②）</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1.投标人提供书面声明（见格式文件）；</w:t>
            </w:r>
          </w:p>
          <w:p>
            <w:pPr>
              <w:snapToGrid w:val="0"/>
              <w:rPr>
                <w:rFonts w:ascii="宋体" w:hAnsi="宋体" w:cs="仿宋"/>
                <w:sz w:val="21"/>
                <w:szCs w:val="21"/>
                <w:lang w:val="zh-CN"/>
              </w:rPr>
            </w:pPr>
            <w:r>
              <w:rPr>
                <w:rFonts w:ascii="宋体" w:hAnsi="宋体" w:cs="仿宋"/>
                <w:sz w:val="21"/>
                <w:szCs w:val="21"/>
                <w:lang w:val="zh-CN"/>
              </w:rPr>
              <w:t>2.</w:t>
            </w:r>
            <w:r>
              <w:rPr>
                <w:rFonts w:hint="eastAsia" w:ascii="宋体" w:hAnsi="宋体" w:cs="仿宋"/>
                <w:sz w:val="21"/>
                <w:szCs w:val="21"/>
                <w:lang w:val="zh-CN"/>
              </w:rPr>
              <w:t>投标人提供信用中国网站（www.creditchina.gov.cn）“信用信息”（包括“失信被执行人”及“重大税收违法案件当事人名单”）及“行政处罚”查询结果以及中国政府采购网（http://www.ccgp.gov.cn）“政府采购严重违法失信行为纪录名单”查询结果（上述两个网站应分项目查询，每一项结果打印一页，并加盖投标人公章）。查询时间为本项目采购公告发布之日起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（6）法律、行政法规规定的其他条件</w:t>
            </w:r>
          </w:p>
        </w:tc>
        <w:tc>
          <w:tcPr>
            <w:tcW w:w="4419" w:type="dxa"/>
            <w:vAlign w:val="center"/>
          </w:tcPr>
          <w:p>
            <w:pPr>
              <w:snapToGrid w:val="0"/>
              <w:rPr>
                <w:rFonts w:ascii="宋体" w:hAnsi="宋体" w:cs="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lang w:val="zh-CN"/>
              </w:rPr>
              <w:t>2</w:t>
            </w:r>
          </w:p>
        </w:tc>
        <w:tc>
          <w:tcPr>
            <w:tcW w:w="3900" w:type="dxa"/>
            <w:gridSpan w:val="2"/>
            <w:vAlign w:val="center"/>
          </w:tcPr>
          <w:p>
            <w:pPr>
              <w:spacing w:line="240" w:lineRule="exact"/>
              <w:rPr>
                <w:rFonts w:ascii="宋体" w:hAnsi="宋体"/>
                <w:sz w:val="21"/>
                <w:szCs w:val="21"/>
              </w:rPr>
            </w:pPr>
            <w:r>
              <w:rPr>
                <w:rFonts w:hint="eastAsia" w:ascii="宋体" w:hAnsi="宋体"/>
                <w:sz w:val="21"/>
                <w:szCs w:val="21"/>
              </w:rPr>
              <w:t>特定资格条件</w:t>
            </w:r>
          </w:p>
        </w:tc>
        <w:tc>
          <w:tcPr>
            <w:tcW w:w="4419" w:type="dxa"/>
            <w:vAlign w:val="center"/>
          </w:tcPr>
          <w:p>
            <w:pPr>
              <w:spacing w:line="240" w:lineRule="exact"/>
              <w:rPr>
                <w:rFonts w:ascii="宋体" w:hAnsi="宋体"/>
                <w:sz w:val="21"/>
                <w:szCs w:val="21"/>
              </w:rPr>
            </w:pPr>
            <w:r>
              <w:rPr>
                <w:rFonts w:hint="eastAsia" w:ascii="宋体" w:hAnsi="宋体"/>
                <w:sz w:val="21"/>
                <w:szCs w:val="21"/>
              </w:rPr>
              <w:t>按第一篇“二、投标人资格要求（二）特定资格条件”的要求提交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rPr>
              <w:t>3</w:t>
            </w:r>
          </w:p>
        </w:tc>
        <w:tc>
          <w:tcPr>
            <w:tcW w:w="3900" w:type="dxa"/>
            <w:gridSpan w:val="2"/>
            <w:vAlign w:val="center"/>
          </w:tcPr>
          <w:p>
            <w:pPr>
              <w:snapToGrid w:val="0"/>
              <w:rPr>
                <w:rFonts w:ascii="宋体" w:hAnsi="宋体" w:cs="仿宋"/>
                <w:sz w:val="21"/>
                <w:szCs w:val="21"/>
                <w:lang w:val="zh-CN"/>
              </w:rPr>
            </w:pPr>
            <w:r>
              <w:rPr>
                <w:rFonts w:hint="eastAsia" w:ascii="宋体" w:hAnsi="宋体" w:cs="仿宋"/>
                <w:sz w:val="21"/>
                <w:szCs w:val="21"/>
                <w:lang w:val="zh-CN"/>
              </w:rPr>
              <w:t>投标保证金</w:t>
            </w:r>
          </w:p>
        </w:tc>
        <w:tc>
          <w:tcPr>
            <w:tcW w:w="4419" w:type="dxa"/>
            <w:vAlign w:val="center"/>
          </w:tcPr>
          <w:p>
            <w:pPr>
              <w:snapToGrid w:val="0"/>
              <w:rPr>
                <w:rFonts w:ascii="宋体" w:hAnsi="宋体" w:cs="仿宋"/>
                <w:sz w:val="21"/>
                <w:szCs w:val="21"/>
              </w:rPr>
            </w:pPr>
            <w:r>
              <w:rPr>
                <w:rFonts w:hint="eastAsia" w:ascii="宋体" w:hAnsi="宋体" w:cs="仿宋"/>
                <w:sz w:val="21"/>
                <w:szCs w:val="21"/>
                <w:lang w:val="zh-CN"/>
              </w:rPr>
              <w:t>按照招标文件的规定提交投标保证金</w:t>
            </w:r>
            <w:r>
              <w:rPr>
                <w:rFonts w:hint="eastAsia" w:ascii="宋体" w:hAnsi="宋体" w:cs="仿宋"/>
                <w:sz w:val="21"/>
                <w:szCs w:val="21"/>
              </w:rPr>
              <w:t>。</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注：①投标人按“五证合一”或“三证合一”登记制度办理营业执照的，组织机构代码证、税务登记证（副本）和社会保险登记证以投标人所提供的营业执</w:t>
      </w:r>
      <w:r>
        <w:rPr>
          <w:rFonts w:hint="eastAsia" w:ascii="宋体" w:hAnsi="宋体" w:cs="仿宋"/>
          <w:kern w:val="0"/>
          <w:sz w:val="24"/>
          <w:szCs w:val="24"/>
        </w:rPr>
        <w:t>照</w:t>
      </w:r>
      <w:r>
        <w:rPr>
          <w:rFonts w:hint="eastAsia" w:ascii="黑体" w:hAnsi="宋体" w:eastAsia="黑体"/>
          <w:color w:val="000000"/>
          <w:sz w:val="24"/>
          <w:szCs w:val="24"/>
        </w:rPr>
        <w:t>（副本）复印件为准。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360" w:lineRule="auto"/>
        <w:rPr>
          <w:rFonts w:ascii="黑体" w:hAnsi="宋体" w:eastAsia="黑体"/>
          <w:color w:val="000000"/>
          <w:sz w:val="24"/>
          <w:szCs w:val="24"/>
        </w:rPr>
      </w:pPr>
      <w:bookmarkStart w:id="26" w:name="_Toc492721016"/>
      <w:bookmarkStart w:id="27" w:name="_Toc493506299"/>
      <w:bookmarkStart w:id="28" w:name="_Toc495330521"/>
      <w:bookmarkStart w:id="29" w:name="_Toc10103732"/>
      <w:r>
        <w:rPr>
          <w:rFonts w:hint="eastAsia" w:ascii="黑体" w:hAnsi="宋体" w:eastAsia="黑体"/>
          <w:color w:val="000000"/>
          <w:sz w:val="24"/>
          <w:szCs w:val="24"/>
        </w:rPr>
        <w:t>二、评标方法</w:t>
      </w:r>
      <w:bookmarkEnd w:id="26"/>
      <w:bookmarkEnd w:id="27"/>
      <w:bookmarkEnd w:id="28"/>
      <w:bookmarkEnd w:id="29"/>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本项目采用综合评分法进行评标。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（一）符合性审查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评标委员会应当对符合资格的投标人的投标文件进行符合性审查，以确定其是否满足招标文件的实质性要求。符合性审查资料表如下：</w:t>
      </w:r>
    </w:p>
    <w:tbl>
      <w:tblPr>
        <w:tblStyle w:val="14"/>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86"/>
        <w:gridCol w:w="1677"/>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64"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163"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评审因素</w:t>
            </w:r>
          </w:p>
        </w:tc>
        <w:tc>
          <w:tcPr>
            <w:tcW w:w="4378" w:type="dxa"/>
            <w:vAlign w:val="center"/>
          </w:tcPr>
          <w:p>
            <w:pPr>
              <w:jc w:val="center"/>
              <w:rPr>
                <w:rFonts w:ascii="宋体" w:hAnsi="宋体" w:cs="仿宋"/>
                <w:b/>
                <w:sz w:val="21"/>
                <w:szCs w:val="21"/>
                <w:lang w:val="zh-CN"/>
              </w:rPr>
            </w:pPr>
            <w:r>
              <w:rPr>
                <w:rFonts w:hint="eastAsia" w:ascii="宋体" w:hAnsi="宋体" w:cs="仿宋"/>
                <w:b/>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4" w:type="dxa"/>
            <w:vMerge w:val="restart"/>
            <w:vAlign w:val="center"/>
          </w:tcPr>
          <w:p>
            <w:pPr>
              <w:snapToGrid w:val="0"/>
              <w:jc w:val="center"/>
              <w:rPr>
                <w:rFonts w:ascii="宋体" w:hAnsi="宋体" w:cs="仿宋"/>
                <w:sz w:val="21"/>
                <w:szCs w:val="21"/>
                <w:lang w:val="zh-CN"/>
              </w:rPr>
            </w:pPr>
            <w:r>
              <w:rPr>
                <w:rFonts w:hint="eastAsia" w:ascii="宋体" w:hAnsi="宋体" w:cs="仿宋"/>
                <w:sz w:val="21"/>
                <w:szCs w:val="21"/>
                <w:lang w:val="zh-CN"/>
              </w:rPr>
              <w:t>1</w:t>
            </w:r>
          </w:p>
        </w:tc>
        <w:tc>
          <w:tcPr>
            <w:tcW w:w="1486" w:type="dxa"/>
            <w:vMerge w:val="restart"/>
            <w:vAlign w:val="center"/>
          </w:tcPr>
          <w:p>
            <w:pPr>
              <w:snapToGrid w:val="0"/>
              <w:rPr>
                <w:rFonts w:ascii="宋体" w:hAnsi="宋体" w:cs="仿宋"/>
                <w:sz w:val="21"/>
                <w:szCs w:val="21"/>
                <w:lang w:val="zh-CN"/>
              </w:rPr>
            </w:pPr>
            <w:r>
              <w:rPr>
                <w:rFonts w:hint="eastAsia" w:ascii="宋体" w:hAnsi="宋体" w:cs="仿宋"/>
                <w:sz w:val="21"/>
                <w:szCs w:val="21"/>
                <w:lang w:val="zh-CN"/>
              </w:rPr>
              <w:t>有效性审查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投标文件签署</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投标方案</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报价唯一</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2</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完整性审查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投标文件份数</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3</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技术部分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本招标文件第二篇规定的内容作出响应。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4</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商务部分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5</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投标有效期为投标截止日期后九十天内</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（三）比较与评价。按招标文件中规定的评标方法和标准，对资格审查和符合性审查合格的投标文件进行商务和服务评估。</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复核后，评标委员会汇总每个投标人每项评分因素的得分。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（四）推荐中标候选人名单。</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三、成交原则</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1、评审办法</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1.1磋商小组将依照本竞争性磋商文件相关规定对服务和商务需求均能满足竞争性磋商实质性响应要求的供应商所提交的最后报价及相关资料进行综合评审，总分100分，其中报价占40%，</w:t>
      </w:r>
      <w:r>
        <w:rPr>
          <w:rFonts w:hint="eastAsia" w:ascii="宋体" w:hAnsi="宋体" w:cs="宋体"/>
          <w:kern w:val="0"/>
          <w:sz w:val="21"/>
          <w:szCs w:val="21"/>
        </w:rPr>
        <w:t>服务</w:t>
      </w:r>
      <w:r>
        <w:rPr>
          <w:rFonts w:hint="eastAsia" w:ascii="黑体" w:hAnsi="宋体" w:eastAsia="黑体"/>
          <w:color w:val="000000"/>
          <w:sz w:val="24"/>
          <w:szCs w:val="24"/>
        </w:rPr>
        <w:t>部分占35%，商务部分占25%。按综合评审得分由高到低的顺序提出成交候选人，并编写评审报告。</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1.2综合评分标准：</w:t>
      </w:r>
    </w:p>
    <w:p>
      <w:pPr>
        <w:snapToGrid w:val="0"/>
        <w:spacing w:line="400" w:lineRule="exact"/>
        <w:ind w:firstLine="480" w:firstLineChars="200"/>
        <w:rPr>
          <w:rFonts w:ascii="宋体" w:hAnsi="宋体" w:cs="仿宋"/>
          <w:sz w:val="24"/>
          <w:szCs w:val="24"/>
        </w:rPr>
      </w:pPr>
      <w:r>
        <w:rPr>
          <w:rFonts w:hint="eastAsia" w:ascii="宋体" w:hAnsi="宋体" w:cs="仿宋"/>
          <w:sz w:val="24"/>
          <w:szCs w:val="24"/>
        </w:rPr>
        <w:t>（一）评审因素</w:t>
      </w:r>
    </w:p>
    <w:tbl>
      <w:tblPr>
        <w:tblStyle w:val="1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95"/>
        <w:gridCol w:w="1276"/>
        <w:gridCol w:w="4709"/>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b/>
                <w:sz w:val="21"/>
                <w:szCs w:val="21"/>
              </w:rPr>
            </w:pPr>
            <w:r>
              <w:rPr>
                <w:rFonts w:hint="eastAsia" w:ascii="宋体" w:hAnsi="宋体" w:cs="仿宋"/>
                <w:b/>
                <w:sz w:val="21"/>
                <w:szCs w:val="21"/>
              </w:rPr>
              <w:t>序号</w:t>
            </w:r>
          </w:p>
        </w:tc>
        <w:tc>
          <w:tcPr>
            <w:tcW w:w="1095" w:type="dxa"/>
            <w:vAlign w:val="center"/>
          </w:tcPr>
          <w:p>
            <w:pPr>
              <w:ind w:firstLine="28"/>
              <w:jc w:val="center"/>
              <w:rPr>
                <w:rFonts w:ascii="宋体" w:hAnsi="宋体" w:cs="仿宋"/>
                <w:b/>
                <w:sz w:val="21"/>
                <w:szCs w:val="21"/>
              </w:rPr>
            </w:pPr>
            <w:r>
              <w:rPr>
                <w:rFonts w:hint="eastAsia" w:ascii="宋体" w:hAnsi="宋体" w:cs="仿宋"/>
                <w:b/>
                <w:sz w:val="21"/>
                <w:szCs w:val="21"/>
              </w:rPr>
              <w:t>评分因素及权重</w:t>
            </w:r>
          </w:p>
        </w:tc>
        <w:tc>
          <w:tcPr>
            <w:tcW w:w="1276" w:type="dxa"/>
            <w:vAlign w:val="center"/>
          </w:tcPr>
          <w:p>
            <w:pPr>
              <w:ind w:firstLine="28"/>
              <w:jc w:val="center"/>
              <w:rPr>
                <w:rFonts w:ascii="宋体" w:hAnsi="宋体" w:cs="仿宋"/>
                <w:b/>
                <w:sz w:val="21"/>
                <w:szCs w:val="21"/>
              </w:rPr>
            </w:pPr>
            <w:r>
              <w:rPr>
                <w:rFonts w:hint="eastAsia" w:ascii="宋体" w:hAnsi="宋体" w:cs="仿宋"/>
                <w:b/>
                <w:sz w:val="21"/>
                <w:szCs w:val="21"/>
              </w:rPr>
              <w:t>分值</w:t>
            </w:r>
          </w:p>
        </w:tc>
        <w:tc>
          <w:tcPr>
            <w:tcW w:w="4709" w:type="dxa"/>
            <w:vAlign w:val="center"/>
          </w:tcPr>
          <w:p>
            <w:pPr>
              <w:ind w:firstLine="28"/>
              <w:jc w:val="center"/>
              <w:rPr>
                <w:rFonts w:ascii="宋体" w:hAnsi="宋体" w:cs="仿宋"/>
                <w:b/>
                <w:sz w:val="21"/>
                <w:szCs w:val="21"/>
              </w:rPr>
            </w:pPr>
            <w:r>
              <w:rPr>
                <w:rFonts w:hint="eastAsia" w:ascii="宋体" w:hAnsi="宋体" w:cs="仿宋"/>
                <w:b/>
                <w:sz w:val="21"/>
                <w:szCs w:val="21"/>
              </w:rPr>
              <w:t>评分标准</w:t>
            </w:r>
          </w:p>
        </w:tc>
        <w:tc>
          <w:tcPr>
            <w:tcW w:w="1953" w:type="dxa"/>
            <w:vAlign w:val="center"/>
          </w:tcPr>
          <w:p>
            <w:pPr>
              <w:pStyle w:val="30"/>
              <w:spacing w:before="0" w:after="0" w:line="240" w:lineRule="auto"/>
              <w:rPr>
                <w:rFonts w:ascii="宋体" w:hAnsi="宋体" w:eastAsia="宋体" w:cs="仿宋"/>
                <w:sz w:val="21"/>
                <w:szCs w:val="21"/>
              </w:rPr>
            </w:pPr>
            <w:r>
              <w:rPr>
                <w:rFonts w:hint="eastAsia" w:ascii="宋体" w:hAnsi="宋体" w:eastAsia="宋体"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sz w:val="21"/>
                <w:szCs w:val="21"/>
              </w:rPr>
            </w:pPr>
            <w:r>
              <w:rPr>
                <w:rFonts w:hint="eastAsia" w:ascii="宋体" w:hAnsi="宋体" w:cs="仿宋"/>
                <w:sz w:val="21"/>
                <w:szCs w:val="21"/>
              </w:rPr>
              <w:t>1</w:t>
            </w:r>
          </w:p>
        </w:tc>
        <w:tc>
          <w:tcPr>
            <w:tcW w:w="1095" w:type="dxa"/>
            <w:vAlign w:val="center"/>
          </w:tcPr>
          <w:p>
            <w:pPr>
              <w:ind w:firstLine="28"/>
              <w:jc w:val="center"/>
              <w:rPr>
                <w:rFonts w:ascii="宋体" w:hAnsi="宋体" w:cs="仿宋"/>
                <w:sz w:val="21"/>
                <w:szCs w:val="21"/>
              </w:rPr>
            </w:pPr>
            <w:r>
              <w:rPr>
                <w:rFonts w:hint="eastAsia" w:ascii="宋体" w:hAnsi="宋体" w:cs="仿宋"/>
                <w:sz w:val="21"/>
                <w:szCs w:val="21"/>
              </w:rPr>
              <w:t>投标报价</w:t>
            </w:r>
          </w:p>
          <w:p>
            <w:pPr>
              <w:ind w:firstLine="28"/>
              <w:jc w:val="center"/>
              <w:rPr>
                <w:rFonts w:ascii="宋体" w:hAnsi="宋体" w:cs="仿宋"/>
                <w:sz w:val="21"/>
                <w:szCs w:val="21"/>
              </w:rPr>
            </w:pPr>
            <w:r>
              <w:rPr>
                <w:rFonts w:hint="eastAsia" w:ascii="宋体" w:hAnsi="宋体" w:cs="仿宋"/>
                <w:sz w:val="21"/>
                <w:szCs w:val="21"/>
              </w:rPr>
              <w:t>（40%）</w:t>
            </w:r>
          </w:p>
        </w:tc>
        <w:tc>
          <w:tcPr>
            <w:tcW w:w="1276" w:type="dxa"/>
            <w:vAlign w:val="center"/>
          </w:tcPr>
          <w:p>
            <w:pPr>
              <w:ind w:firstLine="28"/>
              <w:jc w:val="center"/>
              <w:rPr>
                <w:rFonts w:ascii="宋体" w:hAnsi="宋体" w:cs="仿宋"/>
                <w:sz w:val="21"/>
                <w:szCs w:val="21"/>
              </w:rPr>
            </w:pPr>
          </w:p>
          <w:p>
            <w:pPr>
              <w:ind w:firstLine="28"/>
              <w:jc w:val="center"/>
              <w:rPr>
                <w:rFonts w:ascii="宋体" w:hAnsi="宋体" w:cs="仿宋"/>
                <w:sz w:val="21"/>
                <w:szCs w:val="21"/>
              </w:rPr>
            </w:pPr>
            <w:r>
              <w:rPr>
                <w:rFonts w:hint="eastAsia" w:ascii="宋体" w:hAnsi="宋体" w:cs="仿宋"/>
                <w:sz w:val="21"/>
                <w:szCs w:val="21"/>
              </w:rPr>
              <w:t>40分</w:t>
            </w:r>
          </w:p>
          <w:p>
            <w:pPr>
              <w:ind w:firstLine="28"/>
              <w:jc w:val="center"/>
              <w:rPr>
                <w:rFonts w:ascii="宋体" w:hAnsi="宋体" w:cs="仿宋"/>
                <w:sz w:val="21"/>
                <w:szCs w:val="21"/>
              </w:rPr>
            </w:pPr>
          </w:p>
        </w:tc>
        <w:tc>
          <w:tcPr>
            <w:tcW w:w="4709" w:type="dxa"/>
            <w:vAlign w:val="center"/>
          </w:tcPr>
          <w:p>
            <w:pPr>
              <w:ind w:firstLine="420" w:firstLineChars="200"/>
              <w:rPr>
                <w:rFonts w:ascii="宋体" w:hAnsi="宋体" w:cs="仿宋"/>
                <w:sz w:val="21"/>
                <w:szCs w:val="21"/>
              </w:rPr>
            </w:pPr>
            <w:r>
              <w:rPr>
                <w:rFonts w:hint="eastAsia" w:ascii="宋体" w:hAnsi="宋体" w:cs="仿宋"/>
                <w:sz w:val="21"/>
                <w:szCs w:val="21"/>
              </w:rPr>
              <w:t>有效的投标报价中的最低价为评标基准价，按照下列公式计算每个响应投标人的投标价格得分。</w:t>
            </w:r>
          </w:p>
          <w:p>
            <w:pPr>
              <w:ind w:firstLine="420" w:firstLineChars="200"/>
              <w:rPr>
                <w:rFonts w:ascii="宋体" w:hAnsi="宋体" w:cs="仿宋"/>
                <w:sz w:val="21"/>
                <w:szCs w:val="21"/>
              </w:rPr>
            </w:pPr>
            <w:r>
              <w:rPr>
                <w:rFonts w:hint="eastAsia" w:ascii="宋体" w:hAnsi="宋体" w:cs="仿宋"/>
                <w:sz w:val="21"/>
                <w:szCs w:val="21"/>
              </w:rPr>
              <w:t>投标报价得分＝（评标基准价/投标报价）×40%×100。</w:t>
            </w:r>
          </w:p>
          <w:p>
            <w:pPr>
              <w:ind w:firstLine="420" w:firstLineChars="200"/>
              <w:rPr>
                <w:rFonts w:ascii="宋体" w:hAnsi="宋体" w:cs="仿宋"/>
                <w:sz w:val="21"/>
                <w:szCs w:val="21"/>
              </w:rPr>
            </w:pPr>
            <w:r>
              <w:rPr>
                <w:rFonts w:hint="eastAsia" w:ascii="宋体" w:hAnsi="宋体" w:cs="宋体"/>
                <w:kern w:val="0"/>
                <w:sz w:val="21"/>
                <w:szCs w:val="21"/>
                <w:lang w:val="zh-CN"/>
              </w:rPr>
              <w:t>投标报价得分四舍五入</w:t>
            </w:r>
          </w:p>
        </w:tc>
        <w:tc>
          <w:tcPr>
            <w:tcW w:w="1953" w:type="dxa"/>
            <w:vAlign w:val="center"/>
          </w:tcPr>
          <w:p>
            <w:pPr>
              <w:ind w:left="-38"/>
              <w:rPr>
                <w:rFonts w:ascii="宋体" w:hAnsi="宋体" w:cs="仿宋"/>
                <w:sz w:val="21"/>
                <w:szCs w:val="21"/>
              </w:rPr>
            </w:pPr>
            <w:r>
              <w:rPr>
                <w:rFonts w:hint="eastAsia" w:ascii="仿宋" w:hAnsi="仿宋" w:eastAsia="仿宋"/>
                <w:sz w:val="24"/>
              </w:rPr>
              <w:t>投</w:t>
            </w:r>
            <w:r>
              <w:rPr>
                <w:rFonts w:hint="eastAsia" w:ascii="宋体" w:hAnsi="宋体" w:cs="宋体"/>
                <w:kern w:val="0"/>
                <w:sz w:val="21"/>
                <w:szCs w:val="21"/>
              </w:rPr>
              <w:t>标文件中报价为第一次报价，开标时进行公开唱标，所有投标供应商第二次报价的最低价为评标基准价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2</w:t>
            </w:r>
          </w:p>
        </w:tc>
        <w:tc>
          <w:tcPr>
            <w:tcW w:w="1095" w:type="dxa"/>
            <w:vMerge w:val="restart"/>
            <w:vAlign w:val="center"/>
          </w:tcPr>
          <w:p>
            <w:pPr>
              <w:pStyle w:val="13"/>
              <w:spacing w:beforeAutospacing="0" w:afterAutospacing="0"/>
              <w:rPr>
                <w:color w:val="333333"/>
                <w:sz w:val="18"/>
                <w:szCs w:val="18"/>
                <w:shd w:val="clear" w:color="auto" w:fill="FFFFFF"/>
              </w:rPr>
            </w:pPr>
            <w:r>
              <w:rPr>
                <w:rFonts w:hint="eastAsia"/>
                <w:sz w:val="21"/>
                <w:szCs w:val="21"/>
              </w:rPr>
              <w:t>服务</w:t>
            </w:r>
            <w:r>
              <w:rPr>
                <w:rFonts w:hint="eastAsia"/>
                <w:color w:val="333333"/>
                <w:sz w:val="18"/>
                <w:szCs w:val="18"/>
                <w:shd w:val="clear" w:color="auto" w:fill="FFFFFF"/>
              </w:rPr>
              <w:t>部分</w:t>
            </w:r>
            <w:r>
              <w:rPr>
                <w:rFonts w:hint="eastAsia" w:cs="仿宋"/>
                <w:sz w:val="21"/>
                <w:szCs w:val="21"/>
              </w:rPr>
              <w:t>（35%）</w:t>
            </w:r>
          </w:p>
          <w:p>
            <w:pPr>
              <w:ind w:firstLine="28"/>
              <w:jc w:val="center"/>
              <w:rPr>
                <w:rFonts w:ascii="宋体" w:hAnsi="宋体" w:cs="仿宋"/>
                <w:sz w:val="21"/>
                <w:szCs w:val="21"/>
              </w:rPr>
            </w:pPr>
          </w:p>
        </w:tc>
        <w:tc>
          <w:tcPr>
            <w:tcW w:w="1276" w:type="dxa"/>
            <w:vAlign w:val="center"/>
          </w:tcPr>
          <w:p>
            <w:pPr>
              <w:rPr>
                <w:rFonts w:ascii="宋体" w:hAnsi="宋体" w:cs="仿宋"/>
                <w:sz w:val="21"/>
                <w:szCs w:val="21"/>
              </w:rPr>
            </w:pPr>
            <w:r>
              <w:rPr>
                <w:rFonts w:hint="eastAsia"/>
                <w:color w:val="333333"/>
                <w:sz w:val="18"/>
                <w:szCs w:val="18"/>
                <w:shd w:val="clear" w:color="auto" w:fill="FFFFFF"/>
              </w:rPr>
              <w:t>技术力量（10%）</w:t>
            </w:r>
          </w:p>
        </w:tc>
        <w:tc>
          <w:tcPr>
            <w:tcW w:w="4709" w:type="dxa"/>
            <w:vAlign w:val="center"/>
          </w:tcPr>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对本服务项目配备</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1、专业技术人员数，技术员证，每提供一份见证材料评1分，工程师证，每提供一份见证材料评2分，高级工程师证，每提供一份见证材料评3分，至多5分。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2、特种作业人员数，每提供一份见证材料评1分，至多5分。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提供劳务合同复印件或</w:t>
            </w:r>
            <w:r>
              <w:rPr>
                <w:rFonts w:hint="eastAsia" w:ascii="宋体" w:hAnsi="宋体" w:cs="宋体"/>
                <w:kern w:val="0"/>
                <w:sz w:val="21"/>
                <w:szCs w:val="21"/>
              </w:rPr>
              <w:t>《电梯维修特种作业操作证》</w:t>
            </w:r>
            <w:r>
              <w:rPr>
                <w:rFonts w:hint="eastAsia" w:ascii="宋体" w:hAnsi="宋体" w:cs="宋体"/>
                <w:kern w:val="0"/>
                <w:sz w:val="21"/>
                <w:szCs w:val="21"/>
                <w:lang w:val="zh-CN"/>
              </w:rPr>
              <w:t>资格证书（根据授予时间评定）（盖公章）</w:t>
            </w:r>
          </w:p>
          <w:p>
            <w:pPr>
              <w:topLinePunct/>
              <w:autoSpaceDN w:val="0"/>
              <w:adjustRightInd w:val="0"/>
              <w:snapToGrid w:val="0"/>
              <w:spacing w:line="276" w:lineRule="auto"/>
              <w:ind w:firstLine="420" w:firstLineChars="200"/>
              <w:rPr>
                <w:rFonts w:ascii="宋体" w:hAnsi="宋体" w:cs="宋体"/>
                <w:kern w:val="0"/>
                <w:sz w:val="21"/>
                <w:szCs w:val="21"/>
              </w:rPr>
            </w:pPr>
          </w:p>
        </w:tc>
        <w:tc>
          <w:tcPr>
            <w:tcW w:w="1953" w:type="dxa"/>
            <w:vAlign w:val="center"/>
          </w:tcPr>
          <w:p>
            <w:pPr>
              <w:rPr>
                <w:rFonts w:ascii="宋体" w:hAnsi="宋体" w:cs="仿宋"/>
                <w:sz w:val="21"/>
                <w:szCs w:val="21"/>
              </w:rPr>
            </w:pPr>
            <w:r>
              <w:rPr>
                <w:rFonts w:hint="eastAsia" w:ascii="宋体" w:hAnsi="宋体" w:cs="宋体"/>
                <w:kern w:val="0"/>
                <w:sz w:val="21"/>
                <w:szCs w:val="21"/>
              </w:rPr>
              <w:t>注：投标单位提供</w:t>
            </w:r>
            <w:r>
              <w:rPr>
                <w:rFonts w:hint="eastAsia" w:ascii="宋体" w:hAnsi="宋体" w:cs="宋体"/>
                <w:kern w:val="0"/>
                <w:sz w:val="21"/>
                <w:szCs w:val="21"/>
                <w:lang w:val="zh-CN"/>
              </w:rPr>
              <w:t>专业技术人员操作证复印件盖鲜章，</w:t>
            </w:r>
            <w:r>
              <w:rPr>
                <w:rFonts w:hint="eastAsia" w:ascii="宋体" w:hAnsi="宋体" w:cs="宋体"/>
                <w:kern w:val="0"/>
                <w:sz w:val="21"/>
                <w:szCs w:val="21"/>
              </w:rPr>
              <w:t>和1年以上的社会保险或商业保险等证明资料；</w:t>
            </w:r>
            <w:r>
              <w:rPr>
                <w:rFonts w:hint="eastAsia" w:ascii="宋体" w:hAnsi="宋体" w:cs="宋体"/>
                <w:kern w:val="0"/>
                <w:sz w:val="21"/>
                <w:szCs w:val="21"/>
                <w:lang w:val="zh-CN"/>
              </w:rPr>
              <w:t>及</w:t>
            </w:r>
            <w:r>
              <w:rPr>
                <w:rFonts w:hint="eastAsia" w:ascii="宋体" w:hAnsi="宋体" w:cs="宋体"/>
                <w:kern w:val="0"/>
                <w:sz w:val="21"/>
                <w:szCs w:val="21"/>
              </w:rPr>
              <w:t>提供特种作业人员</w:t>
            </w:r>
            <w:r>
              <w:rPr>
                <w:rFonts w:hint="eastAsia" w:ascii="宋体" w:hAnsi="宋体" w:cs="宋体"/>
                <w:kern w:val="0"/>
                <w:sz w:val="21"/>
                <w:szCs w:val="21"/>
                <w:lang w:val="zh-CN"/>
              </w:rPr>
              <w:t>操作证复印件盖鲜章</w:t>
            </w:r>
            <w:r>
              <w:rPr>
                <w:rFonts w:hint="eastAsia" w:ascii="宋体" w:hAnsi="宋体" w:cs="宋体"/>
                <w:kern w:val="0"/>
                <w:sz w:val="21"/>
                <w:szCs w:val="21"/>
              </w:rPr>
              <w:t>和1年以上的社会保险或商业保险等证明资料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rPr>
                <w:rFonts w:ascii="宋体" w:hAnsi="宋体" w:cs="宋体"/>
                <w:kern w:val="0"/>
                <w:sz w:val="21"/>
                <w:szCs w:val="21"/>
              </w:rPr>
            </w:pPr>
            <w:r>
              <w:rPr>
                <w:rFonts w:hint="eastAsia"/>
                <w:color w:val="333333"/>
                <w:sz w:val="18"/>
                <w:szCs w:val="18"/>
                <w:shd w:val="clear" w:color="auto" w:fill="FFFFFF"/>
              </w:rPr>
              <w:t>安全文明生产作业方案（10%）</w:t>
            </w:r>
          </w:p>
        </w:tc>
        <w:tc>
          <w:tcPr>
            <w:tcW w:w="4709" w:type="dxa"/>
            <w:vAlign w:val="center"/>
          </w:tcPr>
          <w:p>
            <w:pPr>
              <w:pStyle w:val="13"/>
              <w:spacing w:before="0" w:beforeAutospacing="0" w:after="0" w:afterAutospacing="0"/>
              <w:rPr>
                <w:sz w:val="21"/>
                <w:szCs w:val="21"/>
                <w:lang w:val="zh-CN"/>
              </w:rPr>
            </w:pPr>
            <w:r>
              <w:rPr>
                <w:rFonts w:hint="eastAsia"/>
                <w:sz w:val="21"/>
                <w:szCs w:val="21"/>
                <w:lang w:val="zh-CN"/>
              </w:rPr>
              <w:t>安全文明生产作业方案最高得（10分）</w:t>
            </w:r>
          </w:p>
          <w:p>
            <w:pPr>
              <w:pStyle w:val="13"/>
              <w:spacing w:before="0" w:beforeAutospacing="0" w:after="0" w:afterAutospacing="0"/>
              <w:rPr>
                <w:sz w:val="21"/>
                <w:szCs w:val="21"/>
                <w:lang w:val="zh-CN"/>
              </w:rPr>
            </w:pPr>
            <w:r>
              <w:rPr>
                <w:rFonts w:hint="eastAsia"/>
                <w:sz w:val="21"/>
                <w:szCs w:val="21"/>
                <w:lang w:val="zh-CN"/>
              </w:rPr>
              <w:t>1.没有安全文明生产作业保障方案，不得分；</w:t>
            </w:r>
          </w:p>
          <w:p>
            <w:pPr>
              <w:pStyle w:val="13"/>
              <w:spacing w:before="0" w:beforeAutospacing="0" w:after="0" w:afterAutospacing="0"/>
              <w:rPr>
                <w:sz w:val="21"/>
                <w:szCs w:val="21"/>
                <w:lang w:val="zh-CN"/>
              </w:rPr>
            </w:pPr>
            <w:r>
              <w:rPr>
                <w:rFonts w:hint="eastAsia"/>
                <w:sz w:val="21"/>
                <w:szCs w:val="21"/>
                <w:lang w:val="zh-CN"/>
              </w:rPr>
              <w:t>2.有安全文明生产作业保障方案，但内容不全，结合实际不强，得 6分；</w:t>
            </w:r>
          </w:p>
          <w:p>
            <w:pPr>
              <w:pStyle w:val="13"/>
              <w:spacing w:before="0" w:beforeAutospacing="0" w:after="0" w:afterAutospacing="0"/>
              <w:rPr>
                <w:sz w:val="21"/>
                <w:szCs w:val="21"/>
                <w:lang w:val="zh-CN"/>
              </w:rPr>
            </w:pPr>
            <w:r>
              <w:rPr>
                <w:rFonts w:hint="eastAsia"/>
                <w:sz w:val="21"/>
                <w:szCs w:val="21"/>
                <w:lang w:val="zh-CN"/>
              </w:rPr>
              <w:t>3.有安全文明生产作业保障方案，且内容基本全面，结合实际较强，得 8分；</w:t>
            </w:r>
          </w:p>
          <w:p>
            <w:pPr>
              <w:rPr>
                <w:rFonts w:ascii="宋体" w:hAnsi="宋体" w:cs="宋体"/>
                <w:kern w:val="0"/>
                <w:sz w:val="21"/>
                <w:szCs w:val="21"/>
                <w:lang w:val="zh-CN"/>
              </w:rPr>
            </w:pPr>
            <w:r>
              <w:rPr>
                <w:rFonts w:hint="eastAsia" w:ascii="宋体" w:hAnsi="宋体" w:cs="宋体"/>
                <w:kern w:val="0"/>
                <w:sz w:val="21"/>
                <w:szCs w:val="21"/>
                <w:lang w:val="zh-CN"/>
              </w:rPr>
              <w:t>4.有安全文明生产作业保障方案，内容完整健全、结合实际、科学实用，得10分。</w:t>
            </w:r>
          </w:p>
        </w:tc>
        <w:tc>
          <w:tcPr>
            <w:tcW w:w="1953" w:type="dxa"/>
            <w:vMerge w:val="restart"/>
            <w:vAlign w:val="center"/>
          </w:tcPr>
          <w:p>
            <w:pPr>
              <w:rPr>
                <w:rFonts w:ascii="宋体" w:hAnsi="宋体" w:cs="仿宋"/>
                <w:sz w:val="21"/>
                <w:szCs w:val="21"/>
              </w:rPr>
            </w:pPr>
          </w:p>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restart"/>
            <w:vAlign w:val="center"/>
          </w:tcPr>
          <w:p>
            <w:pPr>
              <w:rPr>
                <w:rFonts w:ascii="宋体" w:hAnsi="宋体" w:cs="仿宋"/>
                <w:sz w:val="21"/>
                <w:szCs w:val="21"/>
              </w:rPr>
            </w:pPr>
            <w:r>
              <w:rPr>
                <w:rFonts w:hint="eastAsia" w:ascii="宋体" w:hAnsi="宋体" w:cs="宋体"/>
                <w:kern w:val="0"/>
                <w:sz w:val="21"/>
                <w:szCs w:val="21"/>
              </w:rPr>
              <w:t>服务体系及应急预案（7分）</w:t>
            </w:r>
          </w:p>
        </w:tc>
        <w:tc>
          <w:tcPr>
            <w:tcW w:w="4709" w:type="dxa"/>
            <w:vMerge w:val="restart"/>
            <w:vAlign w:val="center"/>
          </w:tcPr>
          <w:p>
            <w:pPr>
              <w:rPr>
                <w:rFonts w:ascii="宋体" w:hAnsi="宋体" w:cs="宋体"/>
                <w:kern w:val="0"/>
                <w:sz w:val="21"/>
                <w:szCs w:val="21"/>
                <w:lang w:val="zh-CN"/>
              </w:rPr>
            </w:pPr>
            <w:r>
              <w:rPr>
                <w:rFonts w:hint="eastAsia" w:ascii="宋体" w:hAnsi="宋体" w:cs="宋体"/>
                <w:kern w:val="0"/>
                <w:sz w:val="21"/>
                <w:szCs w:val="21"/>
                <w:lang w:val="zh-CN"/>
              </w:rPr>
              <w:t>1、设立24小时服务电话的得2分。</w:t>
            </w:r>
          </w:p>
          <w:p>
            <w:pPr>
              <w:pStyle w:val="13"/>
              <w:spacing w:before="0" w:beforeAutospacing="0" w:after="0" w:afterAutospacing="0"/>
              <w:rPr>
                <w:sz w:val="21"/>
                <w:szCs w:val="21"/>
                <w:lang w:val="zh-CN"/>
              </w:rPr>
            </w:pPr>
            <w:r>
              <w:rPr>
                <w:rFonts w:hint="eastAsia"/>
                <w:sz w:val="21"/>
                <w:szCs w:val="21"/>
                <w:lang w:val="zh-CN"/>
              </w:rPr>
              <w:t>应急抢险方案最高得（5分）</w:t>
            </w:r>
          </w:p>
          <w:p>
            <w:pPr>
              <w:pStyle w:val="13"/>
              <w:spacing w:before="0" w:beforeAutospacing="0" w:after="0" w:afterAutospacing="0"/>
              <w:rPr>
                <w:sz w:val="21"/>
                <w:szCs w:val="21"/>
                <w:lang w:val="zh-CN"/>
              </w:rPr>
            </w:pPr>
            <w:r>
              <w:rPr>
                <w:rFonts w:hint="eastAsia"/>
                <w:sz w:val="21"/>
                <w:szCs w:val="21"/>
                <w:lang w:val="zh-CN"/>
              </w:rPr>
              <w:t>2.没有应急抢险预案，不得分；</w:t>
            </w:r>
          </w:p>
          <w:p>
            <w:pPr>
              <w:pStyle w:val="13"/>
              <w:spacing w:before="0" w:beforeAutospacing="0" w:after="0" w:afterAutospacing="0"/>
              <w:rPr>
                <w:sz w:val="21"/>
                <w:szCs w:val="21"/>
                <w:lang w:val="zh-CN"/>
              </w:rPr>
            </w:pPr>
            <w:r>
              <w:rPr>
                <w:rFonts w:hint="eastAsia"/>
                <w:sz w:val="21"/>
                <w:szCs w:val="21"/>
                <w:lang w:val="zh-CN"/>
              </w:rPr>
              <w:t>3.有应急抢险预案的，但不全面、操作性一般，得2分；</w:t>
            </w:r>
          </w:p>
          <w:p>
            <w:pPr>
              <w:pStyle w:val="13"/>
              <w:spacing w:before="0" w:beforeAutospacing="0" w:after="0" w:afterAutospacing="0"/>
              <w:rPr>
                <w:sz w:val="21"/>
                <w:szCs w:val="21"/>
                <w:lang w:val="zh-CN"/>
              </w:rPr>
            </w:pPr>
            <w:r>
              <w:rPr>
                <w:rFonts w:hint="eastAsia"/>
                <w:sz w:val="21"/>
                <w:szCs w:val="21"/>
                <w:lang w:val="zh-CN"/>
              </w:rPr>
              <w:t>4.有应急抢险预案的，但基本全面、操作性较强，但还存在不足，得3分；</w:t>
            </w:r>
          </w:p>
          <w:p>
            <w:pPr>
              <w:rPr>
                <w:rFonts w:ascii="宋体" w:hAnsi="宋体" w:cs="宋体"/>
                <w:kern w:val="0"/>
                <w:sz w:val="21"/>
                <w:szCs w:val="21"/>
                <w:lang w:val="zh-CN"/>
              </w:rPr>
            </w:pPr>
            <w:r>
              <w:rPr>
                <w:rFonts w:hint="eastAsia" w:ascii="宋体" w:hAnsi="宋体" w:cs="宋体"/>
                <w:kern w:val="0"/>
                <w:sz w:val="21"/>
                <w:szCs w:val="21"/>
                <w:lang w:val="zh-CN"/>
              </w:rPr>
              <w:t>5.有应急抢险预案的，内容完整健全、结合实际、科学实用，得5分</w:t>
            </w:r>
          </w:p>
        </w:tc>
        <w:tc>
          <w:tcPr>
            <w:tcW w:w="1953" w:type="dxa"/>
            <w:vMerge w:val="continue"/>
            <w:vAlign w:val="center"/>
          </w:tcPr>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rPr>
                <w:rFonts w:ascii="宋体" w:hAnsi="宋体" w:cs="宋体"/>
                <w:kern w:val="0"/>
                <w:sz w:val="21"/>
                <w:szCs w:val="21"/>
              </w:rPr>
            </w:pPr>
          </w:p>
        </w:tc>
        <w:tc>
          <w:tcPr>
            <w:tcW w:w="4709" w:type="dxa"/>
            <w:vMerge w:val="continue"/>
            <w:vAlign w:val="center"/>
          </w:tcPr>
          <w:p>
            <w:pPr>
              <w:numPr>
                <w:ilvl w:val="0"/>
                <w:numId w:val="2"/>
              </w:numPr>
              <w:ind w:firstLine="315" w:firstLineChars="150"/>
              <w:rPr>
                <w:rFonts w:ascii="宋体" w:hAnsi="宋体" w:cs="宋体"/>
                <w:kern w:val="0"/>
                <w:sz w:val="21"/>
                <w:szCs w:val="21"/>
                <w:lang w:val="zh-CN"/>
              </w:rPr>
            </w:pPr>
          </w:p>
        </w:tc>
        <w:tc>
          <w:tcPr>
            <w:tcW w:w="1953" w:type="dxa"/>
            <w:vAlign w:val="center"/>
          </w:tcPr>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本项目实际，制定应急抢险预案。内容必须包含：</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1.应急人员配备；</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2.应急车辆和机具配置；</w:t>
            </w:r>
          </w:p>
          <w:p>
            <w:pPr>
              <w:rPr>
                <w:rFonts w:ascii="宋体" w:hAnsi="宋体" w:cs="仿宋"/>
                <w:sz w:val="21"/>
                <w:szCs w:val="21"/>
              </w:rPr>
            </w:pPr>
            <w:r>
              <w:rPr>
                <w:rFonts w:hint="eastAsia"/>
                <w:color w:val="333333"/>
                <w:sz w:val="18"/>
                <w:szCs w:val="18"/>
                <w:shd w:val="clear" w:color="auto" w:fill="FFFFFF"/>
              </w:rPr>
              <w:t>3.应急抢险处置流程。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topLinePunct/>
              <w:autoSpaceDN w:val="0"/>
              <w:adjustRightInd w:val="0"/>
              <w:snapToGrid w:val="0"/>
              <w:spacing w:line="276" w:lineRule="auto"/>
              <w:jc w:val="center"/>
              <w:rPr>
                <w:rFonts w:ascii="宋体" w:hAnsi="宋体" w:cs="宋体"/>
                <w:kern w:val="0"/>
                <w:sz w:val="21"/>
                <w:szCs w:val="21"/>
              </w:rPr>
            </w:pPr>
            <w:r>
              <w:rPr>
                <w:rFonts w:hint="eastAsia" w:ascii="宋体" w:hAnsi="宋体" w:cs="宋体"/>
                <w:kern w:val="0"/>
                <w:sz w:val="21"/>
                <w:szCs w:val="21"/>
              </w:rPr>
              <w:t>制造商技术支持（8分）</w:t>
            </w:r>
          </w:p>
        </w:tc>
        <w:tc>
          <w:tcPr>
            <w:tcW w:w="4709" w:type="dxa"/>
            <w:vAlign w:val="center"/>
          </w:tcPr>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1、有通力制造商授权的安装或改造或修理的单位（包括原电梯生产制造单位）得4分。</w:t>
            </w:r>
          </w:p>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2、通力电梯制造商提供技术保障的得4分。</w:t>
            </w:r>
          </w:p>
        </w:tc>
        <w:tc>
          <w:tcPr>
            <w:tcW w:w="1953" w:type="dxa"/>
            <w:vAlign w:val="center"/>
          </w:tcPr>
          <w:p>
            <w:pPr>
              <w:rPr>
                <w:rFonts w:ascii="宋体" w:hAnsi="宋体" w:cs="仿宋"/>
                <w:sz w:val="21"/>
                <w:szCs w:val="21"/>
              </w:rPr>
            </w:pPr>
            <w:r>
              <w:rPr>
                <w:rFonts w:hint="eastAsia" w:ascii="宋体" w:hAnsi="宋体" w:cs="仿宋"/>
                <w:sz w:val="21"/>
                <w:szCs w:val="21"/>
              </w:rPr>
              <w:t>1、提供制造单位授权书盖鲜章</w:t>
            </w:r>
          </w:p>
          <w:p>
            <w:pPr>
              <w:spacing w:line="240" w:lineRule="atLeast"/>
              <w:rPr>
                <w:rFonts w:ascii="方正仿宋_GBK" w:hAnsi="宋体" w:eastAsia="方正仿宋_GBK" w:cs="华文中宋"/>
                <w:sz w:val="21"/>
                <w:szCs w:val="21"/>
              </w:rPr>
            </w:pPr>
            <w:r>
              <w:rPr>
                <w:rFonts w:hint="eastAsia" w:ascii="宋体" w:hAnsi="宋体" w:cs="仿宋"/>
                <w:sz w:val="21"/>
                <w:szCs w:val="21"/>
              </w:rPr>
              <w:t>2、提供通力电梯制造商技术保障支持声明文件盖鲜章。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3</w:t>
            </w:r>
          </w:p>
        </w:tc>
        <w:tc>
          <w:tcPr>
            <w:tcW w:w="1095" w:type="dxa"/>
            <w:vMerge w:val="restart"/>
            <w:vAlign w:val="center"/>
          </w:tcPr>
          <w:p>
            <w:pPr>
              <w:ind w:firstLine="28"/>
              <w:jc w:val="center"/>
              <w:rPr>
                <w:rFonts w:ascii="宋体" w:hAnsi="宋体" w:cs="仿宋"/>
                <w:sz w:val="21"/>
                <w:szCs w:val="21"/>
              </w:rPr>
            </w:pPr>
            <w:r>
              <w:rPr>
                <w:rFonts w:hint="eastAsia" w:ascii="宋体" w:hAnsi="宋体" w:cs="仿宋"/>
                <w:sz w:val="21"/>
                <w:szCs w:val="21"/>
              </w:rPr>
              <w:t>商务部分</w:t>
            </w:r>
          </w:p>
          <w:p>
            <w:pPr>
              <w:ind w:firstLine="28"/>
              <w:jc w:val="center"/>
              <w:rPr>
                <w:rFonts w:ascii="宋体" w:hAnsi="宋体" w:cs="仿宋"/>
                <w:sz w:val="21"/>
                <w:szCs w:val="21"/>
              </w:rPr>
            </w:pPr>
            <w:r>
              <w:rPr>
                <w:rFonts w:hint="eastAsia" w:ascii="宋体" w:hAnsi="宋体" w:cs="仿宋"/>
                <w:sz w:val="21"/>
                <w:szCs w:val="21"/>
              </w:rPr>
              <w:t>（25%）</w:t>
            </w:r>
          </w:p>
        </w:tc>
        <w:tc>
          <w:tcPr>
            <w:tcW w:w="1276" w:type="dxa"/>
            <w:vMerge w:val="restart"/>
            <w:vAlign w:val="center"/>
          </w:tcPr>
          <w:p>
            <w:pPr>
              <w:jc w:val="center"/>
              <w:rPr>
                <w:rFonts w:ascii="宋体" w:hAnsi="宋体" w:cs="仿宋"/>
                <w:sz w:val="21"/>
                <w:szCs w:val="21"/>
              </w:rPr>
            </w:pPr>
            <w:r>
              <w:rPr>
                <w:rFonts w:hint="eastAsia" w:ascii="宋体" w:hAnsi="宋体" w:cs="宋体"/>
                <w:kern w:val="0"/>
                <w:sz w:val="21"/>
                <w:szCs w:val="21"/>
              </w:rPr>
              <w:t>25分</w:t>
            </w: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一、维保业绩（</w:t>
            </w:r>
            <w:r>
              <w:rPr>
                <w:rFonts w:hint="eastAsia" w:ascii="宋体" w:hAnsi="宋体" w:cs="宋体"/>
                <w:kern w:val="0"/>
                <w:sz w:val="21"/>
                <w:szCs w:val="21"/>
              </w:rPr>
              <w:t>10</w:t>
            </w:r>
            <w:r>
              <w:rPr>
                <w:rFonts w:hint="eastAsia" w:ascii="宋体" w:hAnsi="宋体" w:cs="宋体"/>
                <w:kern w:val="0"/>
                <w:sz w:val="21"/>
                <w:szCs w:val="21"/>
                <w:lang w:val="zh-CN"/>
              </w:rPr>
              <w:t>分）</w:t>
            </w:r>
          </w:p>
          <w:p>
            <w:pPr>
              <w:spacing w:line="240" w:lineRule="atLeast"/>
              <w:rPr>
                <w:rFonts w:ascii="宋体" w:hAnsi="宋体" w:cs="宋体"/>
                <w:kern w:val="0"/>
                <w:sz w:val="21"/>
                <w:szCs w:val="21"/>
                <w:lang w:val="zh-CN"/>
              </w:rPr>
            </w:pPr>
            <w:r>
              <w:rPr>
                <w:rFonts w:hint="eastAsia" w:ascii="宋体" w:hAnsi="宋体" w:cs="宋体"/>
                <w:kern w:val="0"/>
                <w:sz w:val="21"/>
                <w:szCs w:val="21"/>
                <w:lang w:val="zh-CN"/>
              </w:rPr>
              <w:t>1、近三年内，维保电梯数量达100台以上500台以内（含500台）得1分，500台以上1000台以内（含1000台）得2分，1000以上2000台以内（含2000台）台得3分,2000以上3000台以内（含3000台）台得4分，3000以上4000台以内（含4000台）台得5分，4000以上5000台以内（含5000台）台得6分，5000以上6000台以内（含6000台）台得7，6000以上7000台以内（含7000台）台得8分，8000以上9000台以内（含9000台）台得9分，超过9000台得10分。（包括分公司，以合同签约台数为准，连续提供维保服务的电梯不重复计算）</w:t>
            </w:r>
          </w:p>
        </w:tc>
        <w:tc>
          <w:tcPr>
            <w:tcW w:w="1953" w:type="dxa"/>
            <w:vAlign w:val="center"/>
          </w:tcPr>
          <w:p>
            <w:pPr>
              <w:spacing w:line="240" w:lineRule="atLeast"/>
              <w:rPr>
                <w:rFonts w:ascii="方正仿宋_GBK" w:hAnsi="宋体" w:eastAsia="方正仿宋_GBK" w:cs="华文中宋"/>
                <w:color w:val="FF0000"/>
                <w:sz w:val="21"/>
                <w:szCs w:val="21"/>
                <w:highlight w:val="yellow"/>
              </w:rPr>
            </w:pPr>
            <w:r>
              <w:rPr>
                <w:rFonts w:hint="eastAsia" w:ascii="方正仿宋_GBK" w:hAnsi="宋体" w:eastAsia="方正仿宋_GBK" w:cs="华文中宋"/>
                <w:sz w:val="21"/>
                <w:szCs w:val="21"/>
              </w:rPr>
              <w:t>提供维保业绩清单盖鲜章及相应3-5份合同复印件盖鲜章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2、近三年内，投标人从事过三甲医院电梯维保业绩，有1个得3分，投标人从事过二甲医院电梯维保业绩，有1个得2分，本项最高12分。没有的不得分。（包括分公司，以合同签约数为准）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r>
              <w:rPr>
                <w:rFonts w:hint="eastAsia" w:ascii="宋体" w:hAnsi="宋体"/>
                <w:color w:val="000000" w:themeColor="text1"/>
                <w:sz w:val="21"/>
                <w:szCs w:val="21"/>
              </w:rPr>
              <w:t>提供有效证书复印件加盖单位公章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1、投标人具备有效的职业健康安全管理体系（OHSAS18001或GB/T28001）认证证书得1分；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2、投标人具备有效的环境管理体系（ISO14001或GB/T24001）认证证书得1分；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3、投标人具备有效的质量管理体系（ISO9001或GB/T19001）认证证书得1分；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p>
        </w:tc>
      </w:tr>
    </w:tbl>
    <w:p>
      <w:pPr>
        <w:snapToGrid w:val="0"/>
        <w:spacing w:line="390" w:lineRule="exact"/>
        <w:rPr>
          <w:rFonts w:ascii="黑体" w:hAnsi="宋体" w:eastAsia="黑体"/>
          <w:color w:val="000000"/>
          <w:sz w:val="24"/>
          <w:szCs w:val="24"/>
        </w:rPr>
      </w:pPr>
    </w:p>
    <w:p>
      <w:pPr>
        <w:snapToGrid w:val="0"/>
        <w:spacing w:line="400" w:lineRule="exact"/>
        <w:rPr>
          <w:rFonts w:ascii="黑体" w:hAnsi="宋体" w:eastAsia="黑体"/>
          <w:color w:val="000000"/>
          <w:sz w:val="24"/>
          <w:szCs w:val="24"/>
        </w:rPr>
      </w:pPr>
      <w:r>
        <w:rPr>
          <w:rFonts w:hint="eastAsia" w:ascii="宋体" w:hAnsi="宋体" w:cs="仿宋"/>
          <w:b/>
          <w:sz w:val="24"/>
          <w:szCs w:val="24"/>
        </w:rPr>
        <w:t>说</w:t>
      </w:r>
      <w:r>
        <w:rPr>
          <w:rFonts w:hint="eastAsia" w:ascii="黑体" w:hAnsi="宋体" w:eastAsia="黑体"/>
          <w:color w:val="000000"/>
          <w:sz w:val="24"/>
          <w:szCs w:val="24"/>
        </w:rPr>
        <w:t>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竞争性磋商文件的规定，对供应商的响应文件从质量、服务等方面进行审查，以确定供应商是否实质性响应竞争性磋商文件的要求。对技术、服务未作实质性响应的供应商，磋商小组将要求其在第二次报价前做出相应的承诺。</w:t>
      </w:r>
    </w:p>
    <w:p>
      <w:pPr>
        <w:snapToGrid w:val="0"/>
        <w:spacing w:line="390" w:lineRule="exact"/>
        <w:ind w:firstLine="361" w:firstLineChars="150"/>
        <w:rPr>
          <w:rFonts w:ascii="黑体" w:hAnsi="宋体" w:eastAsia="黑体"/>
          <w:color w:val="000000"/>
          <w:sz w:val="24"/>
          <w:szCs w:val="24"/>
        </w:rPr>
      </w:pPr>
      <w:r>
        <w:rPr>
          <w:rFonts w:hint="eastAsia" w:ascii="黑体" w:hAnsi="宋体" w:eastAsia="黑体"/>
          <w:b/>
          <w:bCs/>
          <w:color w:val="000000"/>
          <w:sz w:val="24"/>
          <w:szCs w:val="24"/>
        </w:rPr>
        <w:t>1.3出现下列情形之一的，采购人或者采购代理机构应当终止竞争性</w:t>
      </w:r>
      <w:r>
        <w:rPr>
          <w:rFonts w:hint="eastAsia" w:ascii="黑体" w:hAnsi="宋体" w:eastAsia="黑体"/>
          <w:color w:val="000000"/>
          <w:sz w:val="24"/>
          <w:szCs w:val="24"/>
        </w:rPr>
        <w:t>磋商</w:t>
      </w:r>
      <w:r>
        <w:rPr>
          <w:rFonts w:hint="eastAsia" w:ascii="黑体" w:hAnsi="宋体" w:eastAsia="黑体"/>
          <w:b/>
          <w:bCs/>
          <w:color w:val="000000"/>
          <w:sz w:val="24"/>
          <w:szCs w:val="24"/>
        </w:rPr>
        <w:t>采购活动，发布项目终止公告并说明原因，重新开展采购活动：</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1.3.1因情况变化，不再符合规定的竞争性磋商采购方式适用情形的；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1.3.2出现影响采购公正的违法、违规行为的；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1.3.3在采购过程中符合竞争要求的供应商或者报价未超过采购预算的供应商不足3家的，但《政府采购非招标采购方式管理办法》第二十七条第二款规定的情形除外。</w:t>
      </w:r>
    </w:p>
    <w:p>
      <w:pPr>
        <w:pStyle w:val="3"/>
        <w:spacing w:before="0" w:after="0" w:line="390" w:lineRule="exact"/>
        <w:rPr>
          <w:rFonts w:ascii="黑体" w:eastAsia="黑体"/>
          <w:color w:val="000000"/>
          <w:sz w:val="24"/>
          <w:szCs w:val="24"/>
        </w:rPr>
      </w:pPr>
      <w:bookmarkStart w:id="30" w:name="_Toc415471830"/>
      <w:bookmarkStart w:id="31" w:name="_Toc342913395"/>
      <w:bookmarkStart w:id="32" w:name="_Toc102227321"/>
      <w:r>
        <w:rPr>
          <w:rFonts w:hint="eastAsia" w:ascii="黑体" w:eastAsia="黑体"/>
          <w:color w:val="000000"/>
          <w:sz w:val="24"/>
          <w:szCs w:val="24"/>
        </w:rPr>
        <w:t>四、成交通知</w:t>
      </w:r>
      <w:bookmarkEnd w:id="30"/>
      <w:bookmarkEnd w:id="31"/>
      <w:bookmarkEnd w:id="32"/>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1、成交供应商确定后2个工作日内，将在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上发布成交结果公示。</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2、成交结果公示发布七个日历日，重庆市江北区中医院将以书面形式发出《成交通知书》。《成交通知书》一经发出即发生法律效力。</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3、《成交通知书》将作为签订合同的依据。</w:t>
      </w:r>
    </w:p>
    <w:p>
      <w:pPr>
        <w:spacing w:line="390" w:lineRule="exact"/>
        <w:ind w:firstLine="480" w:firstLineChars="200"/>
        <w:rPr>
          <w:rFonts w:ascii="黑体" w:eastAsia="黑体"/>
          <w:color w:val="000000"/>
        </w:rPr>
      </w:pPr>
      <w:r>
        <w:rPr>
          <w:rFonts w:hint="eastAsia" w:ascii="黑体" w:hAnsi="宋体" w:eastAsia="黑体"/>
          <w:color w:val="000000"/>
          <w:sz w:val="24"/>
          <w:szCs w:val="24"/>
        </w:rPr>
        <w:t>4、如有供应商对成交结果提出质疑的，在质疑处理完毕后发出《成交通知书》。</w:t>
      </w:r>
    </w:p>
    <w:p>
      <w:pPr>
        <w:pStyle w:val="3"/>
        <w:spacing w:before="0" w:after="0" w:line="390" w:lineRule="exact"/>
        <w:rPr>
          <w:rFonts w:ascii="黑体" w:eastAsia="黑体"/>
          <w:color w:val="000000"/>
          <w:sz w:val="24"/>
          <w:szCs w:val="24"/>
        </w:rPr>
      </w:pPr>
      <w:bookmarkStart w:id="33" w:name="_Toc415471831"/>
      <w:r>
        <w:rPr>
          <w:rFonts w:hint="eastAsia" w:ascii="黑体" w:eastAsia="黑体"/>
          <w:color w:val="000000"/>
          <w:sz w:val="24"/>
          <w:szCs w:val="24"/>
        </w:rPr>
        <w:t>五、关于质疑和投诉</w:t>
      </w:r>
      <w:bookmarkEnd w:id="33"/>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供应商认为磋商文件、评审过程和成交结果使自己的权益受到损害的，可向采购人或采购代理机构以书面形式提出质疑。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 xml:space="preserve">提出质疑的应当是参与所质疑项目采购活动的供应商。 </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1.质疑时限、内容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1.2供应商提出质疑应当提交质疑函和必要的证明材料，质疑函应当包括下列内容：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1.2.1供应商的姓名或者名称、地址、邮编、联系人及联系电话；</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1.2.2质疑项目的名称、项目号以及磋商项目编号；</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1.2.3具体、明确的质疑事项和与质疑事项相关的请求；</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1.2.4事实依据；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1.2.5必要的法律依据；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1.2.6提出质疑的日期；</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1.2.7营业执照（或事业单位法人证书，或个体工商户营业执照或有效的自然人身份证明、组织机构代码证）复印件；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1.2.8法定代表人授权委托书原件、法定代表人身份证复印件和其授权代表的身份证复印件（供应商为自然人的提供自然人身份证复印件）；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1.2.9供应商为自然人的，质疑函应当由本人签字；供应商为法人或者其他组织的，质疑函应当由法定代表人、主要负责人，或者其授权代表签字或者盖章，并加盖公章。</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2.质疑答复</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采购人、采购代理机构应当在收到供应商的书面质疑后七个工作日内作出答复，并以书面形式通知质疑供应商和其他有关供应商。</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3.其他</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3.1供应商应按照《政府采购质疑和投诉办法》（财政部令第94号）及相关法律法规要求，在法定质疑期内一次性提出针对同一采购程序环节的质疑。</w:t>
      </w:r>
    </w:p>
    <w:p>
      <w:pPr>
        <w:spacing w:line="560" w:lineRule="exact"/>
        <w:ind w:firstLine="480"/>
        <w:rPr>
          <w:rFonts w:ascii="方正仿宋_GBK" w:hAnsi="仿宋" w:eastAsia="方正仿宋_GBK" w:cs="仿宋"/>
          <w:color w:val="000000" w:themeColor="text1"/>
          <w:szCs w:val="28"/>
        </w:rPr>
      </w:pPr>
      <w:r>
        <w:rPr>
          <w:rFonts w:hint="eastAsia" w:ascii="方正仿宋_GBK" w:hAnsi="仿宋" w:eastAsia="方正仿宋_GBK" w:cs="仿宋"/>
          <w:color w:val="000000" w:themeColor="text1"/>
          <w:szCs w:val="28"/>
        </w:rPr>
        <w:t>3</w:t>
      </w:r>
      <w:r>
        <w:rPr>
          <w:rFonts w:hint="eastAsia" w:ascii="黑体" w:hAnsi="宋体" w:eastAsia="黑体"/>
          <w:color w:val="000000"/>
          <w:sz w:val="24"/>
          <w:szCs w:val="24"/>
        </w:rPr>
        <w:t>.2质疑函范本可在财政部门户网站和中国政府采购网下载。</w:t>
      </w:r>
    </w:p>
    <w:p>
      <w:pPr>
        <w:pStyle w:val="3"/>
        <w:spacing w:before="0" w:after="0" w:line="390" w:lineRule="exact"/>
        <w:rPr>
          <w:rFonts w:ascii="黑体" w:eastAsia="黑体"/>
          <w:color w:val="000000"/>
          <w:sz w:val="24"/>
          <w:szCs w:val="24"/>
        </w:rPr>
      </w:pPr>
      <w:bookmarkStart w:id="34" w:name="_Toc102227322"/>
      <w:bookmarkStart w:id="35" w:name="_Toc342913396"/>
      <w:bookmarkStart w:id="36" w:name="_Toc415471832"/>
      <w:r>
        <w:rPr>
          <w:rFonts w:hint="eastAsia" w:ascii="黑体" w:eastAsia="黑体"/>
          <w:color w:val="000000"/>
          <w:sz w:val="24"/>
          <w:szCs w:val="24"/>
        </w:rPr>
        <w:t>六、签订</w:t>
      </w:r>
      <w:bookmarkEnd w:id="34"/>
      <w:r>
        <w:rPr>
          <w:rFonts w:hint="eastAsia" w:ascii="黑体" w:eastAsia="黑体"/>
          <w:color w:val="000000"/>
          <w:sz w:val="24"/>
          <w:szCs w:val="24"/>
        </w:rPr>
        <w:t>合同</w:t>
      </w:r>
      <w:bookmarkEnd w:id="35"/>
      <w:bookmarkEnd w:id="36"/>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Pr>
        <w:spacing w:line="560" w:lineRule="exact"/>
        <w:ind w:firstLine="480"/>
        <w:rPr>
          <w:rFonts w:ascii="黑体" w:hAnsi="宋体" w:eastAsia="黑体"/>
          <w:color w:val="000000"/>
          <w:sz w:val="24"/>
          <w:szCs w:val="24"/>
        </w:rPr>
      </w:pPr>
    </w:p>
    <w:p>
      <w:pPr>
        <w:spacing w:line="560" w:lineRule="exact"/>
        <w:ind w:firstLine="480"/>
        <w:rPr>
          <w:rFonts w:ascii="黑体" w:hAnsi="宋体" w:eastAsia="黑体"/>
          <w:color w:val="000000"/>
          <w:sz w:val="24"/>
          <w:szCs w:val="24"/>
        </w:rPr>
      </w:pPr>
    </w:p>
    <w:p/>
    <w:p/>
    <w:p/>
    <w:p/>
    <w:p/>
    <w:p/>
    <w:p/>
    <w:p/>
    <w:p>
      <w:pPr>
        <w:pStyle w:val="2"/>
        <w:spacing w:line="360" w:lineRule="auto"/>
        <w:jc w:val="center"/>
        <w:rPr>
          <w:rFonts w:ascii="黑体" w:hAnsi="宋体"/>
          <w:b w:val="0"/>
          <w:color w:val="000000"/>
          <w:sz w:val="36"/>
          <w:szCs w:val="30"/>
        </w:rPr>
      </w:pPr>
      <w:bookmarkStart w:id="37" w:name="_Toc415471823"/>
      <w:bookmarkStart w:id="38" w:name="_Toc102227313"/>
      <w:r>
        <w:rPr>
          <w:rFonts w:hint="eastAsia" w:ascii="黑体" w:hAnsi="宋体"/>
          <w:b w:val="0"/>
          <w:color w:val="000000"/>
          <w:sz w:val="36"/>
          <w:szCs w:val="30"/>
        </w:rPr>
        <w:t>第五篇  供应商须知</w:t>
      </w:r>
      <w:bookmarkEnd w:id="37"/>
      <w:bookmarkEnd w:id="38"/>
      <w:bookmarkStart w:id="39" w:name="_Toc453767309"/>
      <w:bookmarkStart w:id="40" w:name="_Toc10103737"/>
    </w:p>
    <w:p>
      <w:pPr>
        <w:pStyle w:val="2"/>
        <w:spacing w:line="360" w:lineRule="auto"/>
        <w:rPr>
          <w:sz w:val="24"/>
          <w:szCs w:val="24"/>
        </w:rPr>
      </w:pPr>
      <w:r>
        <w:rPr>
          <w:rFonts w:hint="eastAsia"/>
          <w:sz w:val="24"/>
          <w:szCs w:val="24"/>
        </w:rPr>
        <w:t>一、投标人</w:t>
      </w:r>
      <w:bookmarkEnd w:id="39"/>
      <w:bookmarkEnd w:id="40"/>
    </w:p>
    <w:p>
      <w:pPr>
        <w:pStyle w:val="2"/>
        <w:spacing w:line="360" w:lineRule="auto"/>
        <w:rPr>
          <w:rFonts w:ascii="黑体" w:hAnsi="宋体"/>
          <w:b w:val="0"/>
          <w:color w:val="000000"/>
          <w:sz w:val="36"/>
          <w:szCs w:val="30"/>
        </w:rPr>
      </w:pPr>
      <w:r>
        <w:rPr>
          <w:rFonts w:hint="eastAsia" w:ascii="黑体" w:hAnsi="宋体"/>
          <w:sz w:val="24"/>
          <w:szCs w:val="24"/>
        </w:rPr>
        <w:t>（一）投标人</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投标人是指响应招标、参加投标竞争的法人、其他组织。</w:t>
      </w:r>
    </w:p>
    <w:p>
      <w:pPr>
        <w:snapToGrid w:val="0"/>
        <w:spacing w:line="400" w:lineRule="exact"/>
        <w:ind w:firstLine="480" w:firstLineChars="200"/>
        <w:rPr>
          <w:rFonts w:ascii="黑体" w:hAnsi="宋体" w:eastAsia="黑体"/>
          <w:sz w:val="24"/>
          <w:szCs w:val="24"/>
        </w:rPr>
      </w:pPr>
      <w:r>
        <w:rPr>
          <w:rFonts w:hint="eastAsia" w:ascii="宋体" w:hAnsi="宋体" w:cs="仿宋"/>
          <w:sz w:val="24"/>
        </w:rPr>
        <w:t>（</w:t>
      </w:r>
      <w:r>
        <w:rPr>
          <w:rFonts w:hint="eastAsia" w:ascii="黑体" w:hAnsi="宋体" w:eastAsia="黑体"/>
          <w:sz w:val="24"/>
          <w:szCs w:val="24"/>
        </w:rPr>
        <w:t>二）合格投标人条件</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合格投标人应完全符合招标文件第一篇中规定的投标人资格条件，并对招标文件作出实质性响应。</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（三）投标人的风险</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（四）法律责任</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投标人违反《中华人民共和国政府采购法》、《中华人民共和国政府采购实施条例》等相关规定，将按规定追究投标人法律责任。</w:t>
      </w:r>
    </w:p>
    <w:p>
      <w:pPr>
        <w:spacing w:line="360" w:lineRule="auto"/>
        <w:rPr>
          <w:b/>
          <w:sz w:val="24"/>
          <w:szCs w:val="24"/>
        </w:rPr>
      </w:pPr>
      <w:bookmarkStart w:id="41" w:name="_Toc453767310"/>
      <w:bookmarkStart w:id="42" w:name="_Toc10103738"/>
      <w:r>
        <w:rPr>
          <w:rFonts w:hint="eastAsia"/>
          <w:b/>
          <w:sz w:val="24"/>
          <w:szCs w:val="24"/>
        </w:rPr>
        <w:t>二、招标文件</w:t>
      </w:r>
      <w:bookmarkEnd w:id="41"/>
      <w:bookmarkEnd w:id="42"/>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（二）采购代理机构对招标文件所作的一切有效的书面通知、修改及补充，都是招标文件不可分割的部分。</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（三）本项目的招标文件、补遗文件（如果有）一律在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sz w:val="24"/>
          <w:szCs w:val="24"/>
        </w:rPr>
        <w:t>上发布，请各投标人注意下载；无论投标人下载与否，均视同投标人已知晓本项目招标文件、补遗文件的内容。</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（四）采购代理机构对已发出的招标文件需要进行澄清或修改的，应以书面形式或公告形式通知所有招标文件收受人。该澄清或者修改的内容为招标文件的组成部分。</w:t>
      </w:r>
    </w:p>
    <w:p>
      <w:pPr>
        <w:spacing w:line="360" w:lineRule="auto"/>
        <w:rPr>
          <w:b/>
          <w:sz w:val="24"/>
          <w:szCs w:val="24"/>
        </w:rPr>
      </w:pPr>
      <w:bookmarkStart w:id="43" w:name="_Toc453767311"/>
      <w:bookmarkStart w:id="44" w:name="_Toc10103739"/>
      <w:r>
        <w:rPr>
          <w:rFonts w:hint="eastAsia"/>
          <w:b/>
          <w:sz w:val="24"/>
          <w:szCs w:val="24"/>
        </w:rPr>
        <w:t>三、投标文件</w:t>
      </w:r>
      <w:bookmarkEnd w:id="43"/>
      <w:bookmarkEnd w:id="44"/>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（一）投标文件组成</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资格文件要求单独装订。</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（二）联合投标</w:t>
      </w:r>
    </w:p>
    <w:p>
      <w:pPr>
        <w:spacing w:line="400" w:lineRule="exact"/>
        <w:ind w:firstLine="482" w:firstLineChars="200"/>
        <w:rPr>
          <w:rFonts w:ascii="宋体" w:hAnsi="宋体" w:cs="仿宋"/>
          <w:b/>
          <w:sz w:val="24"/>
        </w:rPr>
      </w:pPr>
      <w:r>
        <w:rPr>
          <w:rFonts w:hint="eastAsia" w:ascii="宋体" w:hAnsi="宋体" w:cs="仿宋"/>
          <w:b/>
          <w:sz w:val="24"/>
        </w:rPr>
        <w:t>本项目不接受联合体投标</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（三）投标有效期</w:t>
      </w:r>
    </w:p>
    <w:p>
      <w:pPr>
        <w:rPr>
          <w:rFonts w:ascii="黑体" w:hAnsi="宋体" w:eastAsia="黑体"/>
          <w:sz w:val="24"/>
          <w:szCs w:val="24"/>
        </w:rPr>
      </w:pPr>
      <w:r>
        <w:rPr>
          <w:rFonts w:hint="eastAsia" w:ascii="黑体" w:hAnsi="宋体" w:eastAsia="黑体"/>
          <w:color w:val="000000"/>
          <w:sz w:val="24"/>
          <w:szCs w:val="24"/>
        </w:rPr>
        <w:t>响应文件及有关承诺文件有效期为磋商开始时间起90天。</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（四）投标保证金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1.投标人应在投标截止时间前，按招标文件第一篇规定缴纳投标保证金。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2.投标保证金为投标的有效约束条件。</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3.投标保证金的有效期限在投标有效期过后三十天内继续有效。</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4.投标保证金币种应与投标报价币种相同。</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5.采购代理机构在《中标通知书》发出后五个工作日内退还未中标人的投标保证金；在采购合同签订后五个工作日退还中标人的投标保证金。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6.投标人有下列情形之一的，采购人或者采购代理机构可以不退还投标保证金：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6.1投标人在投标有效期内撤回投标文件的；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6.2投标人未按规定提交履约保证金的；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6.3投标人在投标过程中弄虚作假，提供虚假材料的；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6.4中标人无正当理由不与采购人签订合同的；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6.5中标人将中标项目转让给他人或者在投标文件中未说明且未经采购人同意，将中标项目分包给他人的；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6.6中标人拒绝履行合同义务的；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6.7其他严重扰乱招投标程序的。</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7、报价要求</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本项目以人民币报价，</w:t>
      </w:r>
      <w:r>
        <w:rPr>
          <w:rFonts w:hint="eastAsia" w:ascii="黑体" w:hAnsi="宋体" w:eastAsia="黑体"/>
          <w:color w:val="000000"/>
          <w:sz w:val="24"/>
          <w:szCs w:val="24"/>
        </w:rPr>
        <w:t>磋商</w:t>
      </w:r>
      <w:r>
        <w:rPr>
          <w:rFonts w:hint="eastAsia" w:ascii="黑体" w:hAnsi="宋体" w:eastAsia="黑体"/>
          <w:sz w:val="24"/>
          <w:szCs w:val="24"/>
        </w:rPr>
        <w:t>报价包括完成本项目所需的设备或货物购买（制造）费、辅材费、运输费、装卸费、安装调试费、培训费、包装物清除费和</w:t>
      </w:r>
      <w:r>
        <w:rPr>
          <w:rFonts w:ascii="黑体" w:hAnsi="宋体" w:eastAsia="黑体"/>
          <w:sz w:val="24"/>
          <w:szCs w:val="24"/>
        </w:rPr>
        <w:t>500元以下的零部件不收材料费</w:t>
      </w:r>
      <w:r>
        <w:rPr>
          <w:rFonts w:hint="eastAsia" w:ascii="黑体" w:hAnsi="宋体" w:eastAsia="黑体"/>
          <w:sz w:val="24"/>
          <w:szCs w:val="24"/>
        </w:rPr>
        <w:t>、</w:t>
      </w:r>
      <w:r>
        <w:rPr>
          <w:rFonts w:ascii="黑体" w:hAnsi="宋体" w:eastAsia="黑体"/>
          <w:sz w:val="24"/>
          <w:szCs w:val="24"/>
        </w:rPr>
        <w:t>人工费</w:t>
      </w:r>
      <w:r>
        <w:rPr>
          <w:rFonts w:hint="eastAsia" w:ascii="黑体" w:hAnsi="宋体" w:eastAsia="黑体"/>
          <w:sz w:val="24"/>
          <w:szCs w:val="24"/>
        </w:rPr>
        <w:t>及各种应纳的税费。因成交供应商自身原因造成漏报、少报皆由其自行承担责任，采购人不再补偿。本项目接受二次投标报价，以第二次报价为最终报价。</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8、修正错误</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w:t>
      </w:r>
      <w:r>
        <w:rPr>
          <w:rFonts w:hint="eastAsia" w:ascii="黑体" w:hAnsi="宋体" w:eastAsia="黑体"/>
          <w:sz w:val="24"/>
          <w:szCs w:val="24"/>
        </w:rPr>
        <w:t>小组按上述修正错误的原则及方法修正供应商的报价，供应商同意并签字确认后，</w:t>
      </w:r>
      <w:r>
        <w:rPr>
          <w:rFonts w:hint="eastAsia" w:ascii="黑体" w:hAnsi="宋体" w:eastAsia="黑体"/>
          <w:color w:val="000000"/>
          <w:sz w:val="24"/>
          <w:szCs w:val="24"/>
        </w:rPr>
        <w:t>修正后的报价对供应商具有约束作用。如果供应商不接受修正后的价格，将失去成为成交供应商的资格。</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9、提交响应文件的份数和签署</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9.1响应文件一式三份，</w:t>
      </w:r>
      <w:r>
        <w:rPr>
          <w:rFonts w:hint="eastAsia" w:ascii="黑体" w:hAnsi="宋体" w:eastAsia="黑体"/>
          <w:b/>
          <w:color w:val="000000"/>
          <w:sz w:val="24"/>
          <w:szCs w:val="24"/>
        </w:rPr>
        <w:t>其中正本一份，副本二份，</w:t>
      </w:r>
      <w:r>
        <w:rPr>
          <w:rFonts w:hint="eastAsia" w:ascii="黑体" w:hAnsi="宋体" w:eastAsia="黑体"/>
          <w:color w:val="000000"/>
          <w:sz w:val="24"/>
          <w:szCs w:val="24"/>
        </w:rPr>
        <w:t>副本可为正本的复印件，应与正本一致，如出现不一致情况以正本为准。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9.2</w:t>
      </w:r>
      <w:r>
        <w:rPr>
          <w:rFonts w:hint="eastAsia" w:ascii="黑体" w:hAnsi="宋体" w:eastAsia="黑体"/>
          <w:color w:val="000000"/>
          <w:sz w:val="24"/>
        </w:rPr>
        <w:t>在响应文件正本中，竞争性</w:t>
      </w:r>
      <w:r>
        <w:rPr>
          <w:rFonts w:hint="eastAsia" w:ascii="黑体" w:hAnsi="宋体" w:eastAsia="黑体"/>
          <w:color w:val="000000"/>
          <w:sz w:val="24"/>
          <w:szCs w:val="24"/>
        </w:rPr>
        <w:t>磋商</w:t>
      </w:r>
      <w:r>
        <w:rPr>
          <w:rFonts w:hint="eastAsia" w:ascii="黑体" w:hAnsi="宋体" w:eastAsia="黑体"/>
          <w:color w:val="000000"/>
          <w:sz w:val="24"/>
        </w:rPr>
        <w:t>文件第六篇响应文件格式中规定签字、盖章的地方必须按其规定签字、盖章。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10、响应文件的递交</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10.1响应文件的密封与标记</w:t>
      </w:r>
    </w:p>
    <w:p>
      <w:pPr>
        <w:snapToGrid w:val="0"/>
        <w:spacing w:line="400" w:lineRule="exact"/>
        <w:ind w:firstLine="482" w:firstLineChars="200"/>
        <w:rPr>
          <w:rFonts w:ascii="黑体" w:hAnsi="宋体" w:eastAsia="黑体"/>
          <w:color w:val="000000"/>
          <w:sz w:val="24"/>
          <w:szCs w:val="24"/>
        </w:rPr>
      </w:pPr>
      <w:r>
        <w:rPr>
          <w:rFonts w:hint="eastAsia" w:ascii="黑体" w:hAnsi="宋体" w:eastAsia="黑体"/>
          <w:b/>
          <w:color w:val="000000"/>
          <w:sz w:val="24"/>
          <w:szCs w:val="24"/>
        </w:rPr>
        <w:t>响应文件的正本、副本均采用信封分别密封</w:t>
      </w:r>
      <w:r>
        <w:rPr>
          <w:rFonts w:hint="eastAsia" w:ascii="黑体" w:hAnsi="宋体" w:eastAsia="黑体"/>
          <w:color w:val="000000"/>
          <w:sz w:val="24"/>
          <w:szCs w:val="24"/>
        </w:rPr>
        <w:t>。信封上注明项目名称、供应商名称、“正本”、“副本”字样。</w:t>
      </w:r>
      <w:r>
        <w:rPr>
          <w:rFonts w:hint="eastAsia" w:ascii="黑体" w:hAnsi="宋体" w:eastAsia="黑体"/>
          <w:b/>
          <w:color w:val="000000"/>
          <w:sz w:val="24"/>
          <w:szCs w:val="24"/>
        </w:rPr>
        <w:t>信封的封口应加盖供应商公章或法人授权代表签字</w:t>
      </w:r>
      <w:r>
        <w:rPr>
          <w:rFonts w:hint="eastAsia" w:ascii="黑体" w:hAnsi="宋体" w:eastAsia="黑体"/>
          <w:color w:val="000000"/>
          <w:sz w:val="24"/>
          <w:szCs w:val="24"/>
        </w:rPr>
        <w:t>。</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10.2响应文件投递截止时间：参阅竞争性磋商邀请书。</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11、响应文件语言：简体中文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12、供应商参与人员</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各个供应商可派1-2名代表参与磋商，至少1人应为法定代表人或具有法定代表人授权委托书的授权代表。</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13、无效磋商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供应商发生以下条款情况之一者，视为无效磋商，其响应文件将被拒绝：</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13.1不符合规定的基本资格条件或特定资格条件；</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13.2法定代表人或其授权代表未参加磋商；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13.3供应商未按照竞争性磋商文件的要求缴纳保证金；</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13.4响应文件不按规定签字、盖章；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13.5最后报价超过采购预算；</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13.6供应商响应文件内容有与国家现行法律法规相违背的内容，或附有采购人无法接受的条件。</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13.7最后报价前服务条款未达到竞争性磋商文件要求的；</w:t>
      </w:r>
    </w:p>
    <w:p>
      <w:pPr>
        <w:pStyle w:val="3"/>
        <w:spacing w:before="0" w:after="0" w:line="400" w:lineRule="exact"/>
        <w:rPr>
          <w:rFonts w:ascii="黑体" w:eastAsia="黑体"/>
          <w:color w:val="000000"/>
          <w:sz w:val="24"/>
          <w:szCs w:val="24"/>
        </w:rPr>
      </w:pPr>
      <w:bookmarkStart w:id="45" w:name="_Toc342913393"/>
      <w:bookmarkStart w:id="46" w:name="_Toc179714298"/>
      <w:bookmarkStart w:id="47" w:name="_Toc415471827"/>
      <w:bookmarkStart w:id="48" w:name="_Toc102227319"/>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程序</w:t>
      </w:r>
      <w:bookmarkEnd w:id="45"/>
      <w:bookmarkEnd w:id="46"/>
      <w:bookmarkEnd w:id="47"/>
      <w:bookmarkEnd w:id="48"/>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1、磋商按竞争性磋商文件规定的时间和地点进行。供应商须有法定代表人或其授权代表参加并签到。</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以抽签的形式确定磋商顺序，由本项目磋商小组分别与各供应商进行磋商。在正式磋商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磋商要求的前提下，才能参与正式磋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5、在磋商过程中磋商的任何一方不得向他人透露与磋商有关的技术资料、价格或其他信息。</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方案，最后统一报价。</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7、供应商在磋商时作出的所有书面承诺须由法定代表人或其授权代表签字。</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8、本项目规定报价次数为两次。磋商结束后，磋商小组要求通过资格性审查的供应商在规定的时间内同时书面提出二次报价及有关承诺（填写《第二次报价表》），并据此确定成交候选人。已提交响应文件但未在规定时间内进行第二次报价的供应商，视为放弃第二次报价，以供应商响应文件中的报价为准。</w:t>
      </w:r>
    </w:p>
    <w:p>
      <w:pPr>
        <w:pStyle w:val="3"/>
        <w:spacing w:before="0" w:after="0" w:line="390" w:lineRule="exact"/>
        <w:rPr>
          <w:rFonts w:ascii="黑体" w:eastAsia="黑体"/>
          <w:color w:val="000000"/>
          <w:sz w:val="24"/>
          <w:szCs w:val="24"/>
        </w:rPr>
      </w:pPr>
      <w:bookmarkStart w:id="49" w:name="_Toc415471828"/>
      <w:r>
        <w:rPr>
          <w:rFonts w:hint="eastAsia" w:ascii="黑体" w:eastAsia="黑体"/>
          <w:color w:val="000000"/>
          <w:sz w:val="24"/>
          <w:szCs w:val="24"/>
        </w:rPr>
        <w:t>五、评审依据</w:t>
      </w:r>
      <w:bookmarkEnd w:id="49"/>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评审的依据为竞争性磋商文件和响应文件（含有效的补充文件）。磋商小组判断响应文件对竞争性磋商文件的响应，仅基于响应文件本身而不靠外部证据。</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六、签订合同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
    <w:p/>
    <w:p/>
    <w:p>
      <w:pPr>
        <w:pStyle w:val="2"/>
        <w:spacing w:before="0" w:after="0" w:line="360" w:lineRule="auto"/>
        <w:jc w:val="center"/>
        <w:rPr>
          <w:rFonts w:hint="eastAsia" w:ascii="黑体" w:hAnsi="宋体"/>
          <w:b w:val="0"/>
          <w:color w:val="000000"/>
          <w:sz w:val="36"/>
          <w:szCs w:val="30"/>
        </w:rPr>
      </w:pPr>
      <w:bookmarkStart w:id="50" w:name="_Toc415471843"/>
    </w:p>
    <w:p>
      <w:pPr>
        <w:rPr>
          <w:rFonts w:hint="eastAsia"/>
        </w:rPr>
      </w:pPr>
    </w:p>
    <w:p>
      <w:pPr>
        <w:pStyle w:val="2"/>
        <w:spacing w:before="0" w:after="0" w:line="360" w:lineRule="auto"/>
        <w:jc w:val="center"/>
        <w:rPr>
          <w:rFonts w:ascii="黑体" w:hAnsi="宋体"/>
          <w:b w:val="0"/>
          <w:color w:val="000000"/>
          <w:sz w:val="36"/>
          <w:szCs w:val="30"/>
        </w:rPr>
      </w:pPr>
      <w:r>
        <w:rPr>
          <w:rFonts w:hint="eastAsia" w:ascii="黑体" w:hAnsi="宋体"/>
          <w:b w:val="0"/>
          <w:color w:val="000000"/>
          <w:sz w:val="36"/>
          <w:szCs w:val="30"/>
        </w:rPr>
        <w:t>第六篇  合同草案条款</w:t>
      </w:r>
      <w:bookmarkEnd w:id="50"/>
    </w:p>
    <w:p>
      <w:pPr>
        <w:pStyle w:val="29"/>
        <w:spacing w:line="360" w:lineRule="auto"/>
        <w:ind w:firstLine="480" w:firstLineChars="200"/>
        <w:rPr>
          <w:rFonts w:ascii="方正仿宋_GBK" w:hAnsi="方正仿宋_GBK" w:eastAsia="方正仿宋_GBK"/>
          <w:sz w:val="24"/>
          <w:szCs w:val="24"/>
        </w:rPr>
      </w:pPr>
      <w:bookmarkStart w:id="51" w:name="_Toc303945820"/>
      <w:bookmarkStart w:id="52" w:name="_Toc148265480"/>
      <w:r>
        <w:rPr>
          <w:rFonts w:hint="eastAsia" w:ascii="方正仿宋_GBK" w:hAnsi="方正仿宋_GBK" w:eastAsia="方正仿宋_GBK"/>
          <w:sz w:val="24"/>
          <w:szCs w:val="24"/>
        </w:rPr>
        <w:t>根据《中华人民共和国</w:t>
      </w:r>
      <w:r>
        <w:rPr>
          <w:rFonts w:hint="eastAsia" w:ascii="方正仿宋_GBK" w:hAnsi="方正仿宋_GBK" w:eastAsia="方正仿宋_GBK"/>
          <w:color w:val="FF0000"/>
          <w:sz w:val="24"/>
          <w:szCs w:val="24"/>
        </w:rPr>
        <w:t>民法典</w:t>
      </w:r>
      <w:r>
        <w:rPr>
          <w:rFonts w:hint="eastAsia" w:ascii="方正仿宋_GBK" w:hAnsi="方正仿宋_GBK" w:eastAsia="方正仿宋_GBK"/>
          <w:sz w:val="24"/>
          <w:szCs w:val="24"/>
        </w:rPr>
        <w:t>》及国家和地方有关建筑电梯设施的法规、技术规范，遵循平等、自愿、公平和诚实信用的原则，双方就本项目的电梯设施维保事项协商一致，签署本维保合同。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第一条：合同双方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采 购 人：                    （以下简称甲方）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维保单位：                    （以下简称乙方）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第二条：合同对象</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项目名称：重庆市江北区中医院康复大楼电梯设施维护保养项目（壹年）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项目地址：重庆市江北区建东一村35号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维保范围：江北区中医院康复大楼电梯、扶梯设施</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维保内容及要求：详见招标文件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第三条：合同执行目标</w:t>
      </w:r>
    </w:p>
    <w:p>
      <w:pPr>
        <w:spacing w:line="460" w:lineRule="exact"/>
        <w:ind w:firstLine="240" w:firstLineChars="100"/>
        <w:rPr>
          <w:rFonts w:ascii="方正仿宋_GBK" w:hAnsi="方正仿宋_GBK" w:eastAsia="方正仿宋_GBK"/>
          <w:sz w:val="24"/>
          <w:szCs w:val="24"/>
        </w:rPr>
      </w:pPr>
      <w:r>
        <w:rPr>
          <w:rFonts w:hint="eastAsia" w:ascii="方正仿宋_GBK" w:hAnsi="方正仿宋_GBK" w:eastAsia="方正仿宋_GBK"/>
          <w:sz w:val="24"/>
          <w:szCs w:val="24"/>
        </w:rPr>
        <w:t>1、根据国家和地方有关建筑电梯设施的技术规范，对合同范围内电梯进行维修保养，保障合同范围内电梯设施的正常运行。</w:t>
      </w:r>
    </w:p>
    <w:p>
      <w:pPr>
        <w:spacing w:line="4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 xml:space="preserve">2、由有建筑电梯设施检测技术资质的公司在每年12月份对全院进行一次建筑电梯设施质量检测，并出具检测报告，所需费用由中标方负责。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第四条：双方责任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一、甲方责任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1、提供合同范围内经公安电梯机构验收合格的电梯全套施工竣工图纸、资料、设备使用说明书及所有电梯设施的合法合格手续。并且提供电梯报警主机数据库及调试软件和编码器。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2、在维保过程中，如属甲方原因造成的和产品自身质量问题损坏经双方确认需要更换的设施、配件等费用由甲方承担。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3、负责整个合同对象电梯设施系统设施设备的日常运行管理和监护，发现问题后立即通知乙方并为乙方提供必要的工作条件和方便。</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4、承担因甲方原因而造成电梯不能正常工作的责任。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5、按合同约定的金额、期限和方式支付合同款项。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二、乙方责任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1、与甲方</w:t>
      </w:r>
      <w:r>
        <w:rPr>
          <w:rFonts w:hint="eastAsia" w:ascii="黑体" w:hAnsi="宋体" w:eastAsia="黑体"/>
          <w:color w:val="000000"/>
          <w:sz w:val="24"/>
          <w:szCs w:val="24"/>
        </w:rPr>
        <w:t>签订合同后15天内，</w:t>
      </w:r>
      <w:r>
        <w:rPr>
          <w:rFonts w:hint="eastAsia" w:ascii="方正仿宋_GBK" w:hAnsi="方正仿宋_GBK" w:eastAsia="方正仿宋_GBK"/>
          <w:sz w:val="24"/>
          <w:szCs w:val="24"/>
        </w:rPr>
        <w:t>根据国家和地方有关建筑电梯设施的法规和技术规范，</w:t>
      </w:r>
      <w:r>
        <w:rPr>
          <w:rFonts w:hint="eastAsia" w:ascii="黑体" w:hAnsi="宋体" w:eastAsia="黑体"/>
          <w:color w:val="000000"/>
          <w:sz w:val="24"/>
          <w:szCs w:val="24"/>
        </w:rPr>
        <w:t>对医院电梯进行一次全面检查和维修，</w:t>
      </w:r>
      <w:r>
        <w:rPr>
          <w:rFonts w:hint="eastAsia" w:ascii="方正仿宋_GBK" w:hAnsi="方正仿宋_GBK" w:eastAsia="方正仿宋_GBK"/>
          <w:sz w:val="24"/>
          <w:szCs w:val="24"/>
        </w:rPr>
        <w:t>保障其能正常运行。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2、对合同范围内的电梯设施进行定期（月检、季检、年检）检查，具体内容详见招标文件。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3、检测、维修的工具、设备由乙方负责。（设备本身自带的除外）</w:t>
      </w:r>
    </w:p>
    <w:p>
      <w:pPr>
        <w:pStyle w:val="29"/>
        <w:spacing w:line="360" w:lineRule="auto"/>
        <w:ind w:firstLine="480" w:firstLineChars="200"/>
        <w:rPr>
          <w:rFonts w:ascii="方正兰亭黑_YS_GB18030" w:hAnsi="方正兰亭黑_YS_GB18030" w:eastAsia="方正兰亭黑_YS_GB18030" w:cs="方正兰亭黑_YS_GB18030"/>
          <w:b/>
          <w:bCs/>
          <w:sz w:val="24"/>
          <w:szCs w:val="24"/>
        </w:rPr>
      </w:pPr>
      <w:r>
        <w:rPr>
          <w:rFonts w:hint="eastAsia" w:ascii="方正仿宋_GBK" w:hAnsi="方正仿宋_GBK" w:eastAsia="方正仿宋_GBK"/>
          <w:sz w:val="24"/>
          <w:szCs w:val="24"/>
        </w:rPr>
        <w:t>4、在维保过程中，如属产品自身质量缺陷，由乙方联系产品供货商进行更换；若供货商不免费更换，则由甲方承担；</w:t>
      </w:r>
      <w:r>
        <w:rPr>
          <w:rFonts w:hint="eastAsia" w:ascii="方正兰亭黑_YS_GB18030" w:hAnsi="方正兰亭黑_YS_GB18030" w:eastAsia="方正兰亭黑_YS_GB18030" w:cs="方正兰亭黑_YS_GB18030"/>
          <w:b/>
          <w:bCs/>
          <w:sz w:val="24"/>
          <w:szCs w:val="24"/>
        </w:rPr>
        <w:t>更换的材料、设备各项参数、指标应满足原设计及以上要求，品牌、价格需双方签字认可。</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5、应在接到甲方故障通知后4小时内到达现场排除故障，如遇紧急情况1小时内应到达现场排除故障。一般故障应在当天完成维修。如遇重大故障（如主机机板故障，水泵故障等）需在2天内完成维修。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6、对适时维修、定期检测维修后，向甲方提供合同检测、维修书面记录，经由甲、乙双方现场代表签字后各持壹份存档。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7、在年度合同期结束后，向甲方出具年度检测维修报告，经由甲、乙双方负责人签字后各持壹份存档。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8、乙方在进场维护、检测时须遵守甲方的相关规定。</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9、乙方需全力提供甲方因工程改造涉及到的电梯变更等技术支持。</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10、乙方应向甲方提供维保人员相关资料。</w:t>
      </w:r>
    </w:p>
    <w:p>
      <w:pPr>
        <w:pStyle w:val="29"/>
        <w:spacing w:line="360" w:lineRule="auto"/>
        <w:ind w:firstLine="480" w:firstLineChars="200"/>
        <w:rPr>
          <w:rFonts w:eastAsia="方正仿宋_GBK"/>
        </w:rPr>
      </w:pPr>
      <w:r>
        <w:rPr>
          <w:rFonts w:hint="eastAsia" w:ascii="方正仿宋_GBK" w:hAnsi="方正仿宋_GBK" w:eastAsia="方正仿宋_GBK"/>
          <w:sz w:val="24"/>
          <w:szCs w:val="24"/>
        </w:rPr>
        <w:t>11、因乙方维保不到位，被电梯等部门查处的法律、经济责任由乙方承担。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三、共同责任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1、甲、乙双方应遵守和执行国家、地方有关建筑电梯设施的法规和技术规范。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2、甲、乙双方有义务向公安电梯机构报告合同对象的运行情况并接受其监督。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第五条：合同执行期限</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本合同执行自   年   月    日起至   年  月   日止，合同期为壹年。</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第六条：合同金额、付款方式</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1、合同金额：本合同总价人民币大写：       小写（￥       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2、合同签订前，乙方向甲方缴纳履约保证金    元（中标金额的5%）。</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3、付款方式：</w:t>
      </w:r>
    </w:p>
    <w:p>
      <w:pPr>
        <w:pStyle w:val="29"/>
        <w:spacing w:line="360" w:lineRule="auto"/>
        <w:ind w:firstLine="480" w:firstLineChars="200"/>
        <w:rPr>
          <w:rFonts w:ascii="方正仿宋_GBK" w:hAnsi="方正仿宋_GBK" w:eastAsia="方正仿宋_GBK"/>
          <w:sz w:val="24"/>
        </w:rPr>
      </w:pPr>
      <w:r>
        <w:rPr>
          <w:rFonts w:hint="eastAsia" w:ascii="方正仿宋_GBK" w:hAnsi="方正仿宋_GBK" w:eastAsia="方正仿宋_GBK"/>
          <w:sz w:val="24"/>
          <w:szCs w:val="24"/>
        </w:rPr>
        <w:t>（1）一年内分期付款，合同签订进场后，以维保服务进度满半年支付当年全部款项的50%。进度款支付条件：在维保服务期间，维保服务商提供服务未违反招标要求以及合同约</w:t>
      </w:r>
      <w:r>
        <w:rPr>
          <w:rFonts w:hint="eastAsia" w:ascii="黑体" w:hAnsi="宋体" w:eastAsia="黑体"/>
          <w:color w:val="000000"/>
          <w:sz w:val="24"/>
          <w:szCs w:val="24"/>
        </w:rPr>
        <w:t>定且验收合格。合同期满，验收合格，15个工作日内支付当年全部余款。</w:t>
      </w:r>
      <w:r>
        <w:rPr>
          <w:rFonts w:hint="eastAsia" w:ascii="方正仿宋_GBK" w:hAnsi="方正仿宋_GBK" w:eastAsia="方正仿宋_GBK"/>
          <w:sz w:val="24"/>
        </w:rPr>
        <w:t>如当年有扣款的，则从应付合同款中直接扣除。</w:t>
      </w:r>
    </w:p>
    <w:p>
      <w:pPr>
        <w:pStyle w:val="29"/>
        <w:spacing w:line="360" w:lineRule="auto"/>
        <w:ind w:firstLine="360" w:firstLineChars="150"/>
        <w:rPr>
          <w:rFonts w:ascii="方正仿宋_GBK" w:hAnsi="方正仿宋_GBK" w:eastAsia="方正仿宋_GBK"/>
          <w:sz w:val="24"/>
        </w:rPr>
      </w:pPr>
      <w:r>
        <w:rPr>
          <w:rFonts w:hint="eastAsia" w:ascii="方正仿宋_GBK" w:hAnsi="方正仿宋_GBK" w:eastAsia="方正仿宋_GBK"/>
          <w:sz w:val="24"/>
        </w:rPr>
        <w:t xml:space="preserve"> （2）更换材料费用的支付：每半年由维保单位开具发票后结算一次（凭双方签字认可的材料签证单及双方认定的价格结算）</w:t>
      </w:r>
      <w:r>
        <w:rPr>
          <w:rFonts w:hint="eastAsia" w:ascii="方正仿宋_GBK" w:hAnsi="方正仿宋_GBK" w:eastAsia="方正仿宋_GBK"/>
          <w:sz w:val="24"/>
          <w:szCs w:val="24"/>
        </w:rPr>
        <w:t>。</w:t>
      </w:r>
    </w:p>
    <w:p>
      <w:pPr>
        <w:pStyle w:val="29"/>
        <w:numPr>
          <w:ilvl w:val="0"/>
          <w:numId w:val="3"/>
        </w:numPr>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rPr>
        <w:t>支付方式为转帐支票。</w:t>
      </w:r>
    </w:p>
    <w:p>
      <w:pPr>
        <w:pStyle w:val="29"/>
        <w:spacing w:line="360" w:lineRule="auto"/>
        <w:rPr>
          <w:rFonts w:ascii="方正仿宋_GBK" w:hAnsi="方正仿宋_GBK" w:eastAsia="方正仿宋_GBK"/>
          <w:sz w:val="24"/>
          <w:szCs w:val="24"/>
        </w:rPr>
      </w:pPr>
      <w:r>
        <w:rPr>
          <w:rFonts w:hint="eastAsia" w:ascii="方正仿宋_GBK" w:hAnsi="方正仿宋_GBK" w:eastAsia="方正仿宋_GBK"/>
          <w:sz w:val="24"/>
          <w:szCs w:val="24"/>
        </w:rPr>
        <w:t xml:space="preserve">    第七条：违约责任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1、双方不得无故终止合同，如有违约，则由违约方按当年未执行部份合同金额的50%一次性向对方赔付违约金。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乙方在合同期内少测试或未出具测试报告一次(月、季、年)按当年合同金额的15%扣除；如乙方出现两月以上（含两月）未按规定时间对甲方电梯设施进行测试并出具测试报告，甲方有权提前终止合同，并保留追究乙方责任的权利。</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3、如甲方未按合同规定时限支付合同款项，则按当年合同金额的百分之三向乙方支付滞纳金。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第八条：其它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1、本合同由甲、乙两方</w:t>
      </w:r>
      <w:r>
        <w:rPr>
          <w:rFonts w:hint="eastAsia" w:ascii="方正仿宋_GBK" w:hAnsi="方正仿宋_GBK" w:eastAsia="方正仿宋_GBK"/>
          <w:color w:val="FF0000"/>
          <w:sz w:val="24"/>
          <w:szCs w:val="24"/>
          <w:u w:val="single"/>
        </w:rPr>
        <w:t>法定代表人</w:t>
      </w:r>
      <w:r>
        <w:rPr>
          <w:rFonts w:hint="eastAsia" w:ascii="方正仿宋_GBK" w:hAnsi="方正仿宋_GBK" w:eastAsia="方正仿宋_GBK"/>
          <w:sz w:val="24"/>
          <w:szCs w:val="24"/>
        </w:rPr>
        <w:t>或者其委托人签字盖章后生效。</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2、本合同一式六份，由甲、乙两方各持三份，均具有同等法律效力。</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3、本合同在实施过程中若需要破土、拆墙、开检修孔等工作均由甲方负责实施和承担相关费用。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4、在乙方执行合同期间，甲方电梯新增、改造部份在本合同维保范围内。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5、未经甲方同意，乙方不得提取、更改甲方设备内的相关数据。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6、合同期满前一月，甲方可选择重新确定维保单位或续合同，在甲方未确定新的维保单位前，乙方需按现合同及招标文件的要求继续实施维保</w:t>
      </w:r>
      <w:r>
        <w:rPr>
          <w:rFonts w:hint="eastAsia" w:ascii="黑体" w:hAnsi="宋体" w:eastAsia="黑体"/>
          <w:color w:val="000000"/>
          <w:sz w:val="24"/>
          <w:szCs w:val="24"/>
        </w:rPr>
        <w:t>，费用按月进行计算。确定新的维保单位后，</w:t>
      </w:r>
      <w:r>
        <w:rPr>
          <w:rFonts w:hint="eastAsia" w:ascii="方正仿宋_GBK" w:hAnsi="方正仿宋_GBK" w:eastAsia="方正仿宋_GBK"/>
          <w:sz w:val="24"/>
          <w:szCs w:val="24"/>
        </w:rPr>
        <w:t>乙方</w:t>
      </w:r>
      <w:r>
        <w:rPr>
          <w:rFonts w:hint="eastAsia" w:ascii="黑体" w:hAnsi="宋体" w:eastAsia="黑体"/>
          <w:color w:val="000000"/>
          <w:sz w:val="24"/>
          <w:szCs w:val="24"/>
        </w:rPr>
        <w:t>需配合新的维保单位进行维保</w:t>
      </w:r>
      <w:r>
        <w:rPr>
          <w:rFonts w:hint="eastAsia" w:ascii="方正仿宋_GBK" w:eastAsia="方正仿宋_GBK"/>
          <w:bCs/>
          <w:kern w:val="0"/>
          <w:sz w:val="24"/>
          <w:szCs w:val="24"/>
        </w:rPr>
        <w:t>交接。</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7、凡本合同未涉及的部分或产生歧义的部分，均以甲方    年     月的竞争性磋商文件和投标文件为准。其他未尽事宜双方协商解决或向项目所在地人民法院起诉。</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甲方（盖章）：           乙方（盖章）：                                           </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负责人（签字）           负责人（签字）：        </w:t>
      </w:r>
    </w:p>
    <w:p>
      <w:pPr>
        <w:pStyle w:val="6"/>
      </w:pPr>
    </w:p>
    <w:p>
      <w:pPr>
        <w:pStyle w:val="29"/>
        <w:spacing w:line="360" w:lineRule="auto"/>
        <w:ind w:firstLine="480" w:firstLineChars="200"/>
      </w:pPr>
      <w:r>
        <w:rPr>
          <w:rFonts w:hint="eastAsia" w:ascii="方正仿宋_GBK" w:hAnsi="方正仿宋_GBK" w:eastAsia="方正仿宋_GBK"/>
          <w:sz w:val="24"/>
          <w:szCs w:val="24"/>
        </w:rPr>
        <w:t>代  表（签字）：</w:t>
      </w:r>
      <w:r>
        <w:rPr>
          <w:rFonts w:hint="eastAsia" w:ascii="方正仿宋_GBK" w:hAnsi="方正仿宋_GBK" w:eastAsia="方正仿宋_GBK"/>
          <w:sz w:val="24"/>
          <w:szCs w:val="24"/>
        </w:rPr>
        <w:tab/>
      </w:r>
      <w:r>
        <w:rPr>
          <w:rFonts w:hint="eastAsia" w:ascii="方正仿宋_GBK" w:hAnsi="方正仿宋_GBK" w:eastAsia="方正仿宋_GBK"/>
          <w:sz w:val="24"/>
          <w:szCs w:val="24"/>
        </w:rPr>
        <w:tab/>
      </w:r>
      <w:r>
        <w:rPr>
          <w:rFonts w:hint="eastAsia" w:ascii="方正仿宋_GBK" w:hAnsi="方正仿宋_GBK" w:eastAsia="方正仿宋_GBK"/>
          <w:sz w:val="24"/>
          <w:szCs w:val="24"/>
        </w:rPr>
        <w:t xml:space="preserve">    代  表（签字）：    </w:t>
      </w:r>
    </w:p>
    <w:bookmarkEnd w:id="51"/>
    <w:bookmarkEnd w:id="52"/>
    <w:p/>
    <w:p/>
    <w:p>
      <w:pPr>
        <w:jc w:val="center"/>
        <w:rPr>
          <w:rFonts w:hint="eastAsia" w:ascii="宋体" w:hAnsi="宋体" w:cs="仿宋"/>
          <w:b/>
          <w:bCs/>
          <w:sz w:val="36"/>
          <w:szCs w:val="36"/>
        </w:rPr>
      </w:pPr>
    </w:p>
    <w:p>
      <w:pPr>
        <w:jc w:val="center"/>
      </w:pPr>
      <w:r>
        <w:rPr>
          <w:rFonts w:hint="eastAsia" w:ascii="宋体" w:hAnsi="宋体" w:cs="仿宋"/>
          <w:b/>
          <w:bCs/>
          <w:sz w:val="36"/>
          <w:szCs w:val="36"/>
        </w:rPr>
        <w:t xml:space="preserve">第七篇  </w:t>
      </w:r>
      <w:r>
        <w:rPr>
          <w:rFonts w:hint="eastAsia" w:ascii="黑体" w:hAnsi="宋体"/>
          <w:b/>
          <w:color w:val="000000"/>
          <w:sz w:val="36"/>
          <w:szCs w:val="30"/>
        </w:rPr>
        <w:t>响应文件格式要求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一、经济部分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（一）服务应答（</w:t>
      </w:r>
      <w:r>
        <w:rPr>
          <w:rFonts w:hint="eastAsia" w:ascii="黑体" w:hAnsi="宋体" w:eastAsia="黑体"/>
          <w:b/>
          <w:bCs/>
          <w:color w:val="000000"/>
          <w:sz w:val="24"/>
          <w:szCs w:val="24"/>
        </w:rPr>
        <w:t>需提供维保方案</w:t>
      </w:r>
      <w:r>
        <w:rPr>
          <w:rFonts w:hint="eastAsia" w:ascii="黑体" w:hAnsi="宋体" w:eastAsia="黑体"/>
          <w:color w:val="000000"/>
          <w:sz w:val="24"/>
          <w:szCs w:val="24"/>
        </w:rPr>
        <w:t>）</w:t>
      </w:r>
    </w:p>
    <w:p>
      <w:pPr>
        <w:spacing w:line="440" w:lineRule="exact"/>
        <w:ind w:firstLine="482" w:firstLineChars="200"/>
        <w:rPr>
          <w:rFonts w:ascii="黑体" w:hAnsi="宋体" w:eastAsia="黑体"/>
          <w:color w:val="000000"/>
          <w:sz w:val="24"/>
          <w:szCs w:val="24"/>
        </w:rPr>
      </w:pPr>
      <w:r>
        <w:rPr>
          <w:rFonts w:hint="eastAsia" w:ascii="黑体" w:hAnsi="宋体" w:eastAsia="黑体"/>
          <w:b/>
          <w:bCs/>
          <w:color w:val="000000"/>
          <w:sz w:val="24"/>
          <w:szCs w:val="24"/>
        </w:rPr>
        <w:t>（二）维保方案格式要求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三、商务部分</w:t>
      </w:r>
    </w:p>
    <w:p>
      <w:pPr>
        <w:spacing w:line="440" w:lineRule="exact"/>
        <w:ind w:firstLine="480" w:firstLineChars="200"/>
        <w:rPr>
          <w:rFonts w:ascii="黑体" w:hAnsi="宋体" w:eastAsia="黑体"/>
          <w:b/>
          <w:bCs/>
          <w:color w:val="000000"/>
          <w:sz w:val="24"/>
          <w:szCs w:val="24"/>
        </w:rPr>
      </w:pPr>
      <w:r>
        <w:rPr>
          <w:rFonts w:hint="eastAsia" w:ascii="黑体" w:hAnsi="宋体" w:eastAsia="黑体"/>
          <w:color w:val="000000"/>
          <w:sz w:val="24"/>
          <w:szCs w:val="24"/>
        </w:rPr>
        <w:t>（一）商务要求响应情况：交货期、质量保证期、售后服务条款等。（需提供</w:t>
      </w:r>
      <w:r>
        <w:rPr>
          <w:rFonts w:hint="eastAsia" w:ascii="黑体" w:hAnsi="宋体" w:eastAsia="黑体"/>
          <w:b/>
          <w:bCs/>
          <w:color w:val="000000"/>
          <w:sz w:val="24"/>
          <w:szCs w:val="24"/>
        </w:rPr>
        <w:t>服务承诺）</w:t>
      </w:r>
    </w:p>
    <w:p>
      <w:pPr>
        <w:spacing w:line="440" w:lineRule="exact"/>
        <w:ind w:firstLine="482" w:firstLineChars="200"/>
        <w:rPr>
          <w:rFonts w:ascii="黑体" w:hAnsi="宋体" w:eastAsia="黑体"/>
          <w:b/>
          <w:bCs/>
          <w:color w:val="000000"/>
          <w:sz w:val="24"/>
          <w:szCs w:val="24"/>
        </w:rPr>
      </w:pPr>
      <w:r>
        <w:rPr>
          <w:rFonts w:hint="eastAsia" w:ascii="黑体" w:hAnsi="宋体" w:eastAsia="黑体"/>
          <w:b/>
          <w:bCs/>
          <w:color w:val="000000"/>
          <w:sz w:val="24"/>
          <w:szCs w:val="24"/>
        </w:rPr>
        <w:t>（二）服务承诺内容要求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（四）其它优惠承诺</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四、资格条件及其他</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1、法人营业执照副本复印件；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2、税务登记证副本复印件；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3、法定代表人身份证明书（格式）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4、法定代表人授权委托书（格式）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5、诚信声明（格式）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（二）特定资格条件证明材料复印件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（三）其他应提供的资料</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1保证金交纳凭证</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2退还投标保证金信息登记表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3其他与项目有关的资料</w:t>
      </w:r>
    </w:p>
    <w:p>
      <w:pPr>
        <w:snapToGrid w:val="0"/>
        <w:spacing w:line="360" w:lineRule="auto"/>
        <w:rPr>
          <w:rFonts w:ascii="黑体" w:hAnsi="宋体" w:eastAsia="黑体"/>
          <w:color w:val="000000"/>
          <w:sz w:val="24"/>
          <w:szCs w:val="24"/>
          <w:bdr w:val="single" w:color="auto" w:sz="4" w:space="0"/>
        </w:rPr>
        <w:sectPr>
          <w:footerReference r:id="rId5" w:type="default"/>
          <w:footerReference r:id="rId6" w:type="even"/>
          <w:pgSz w:w="11907" w:h="16840"/>
          <w:pgMar w:top="1134" w:right="1191" w:bottom="1134" w:left="1304" w:header="851" w:footer="992" w:gutter="0"/>
          <w:cols w:space="720" w:num="1"/>
          <w:docGrid w:linePitch="380" w:charSpace="-5735"/>
        </w:sectPr>
      </w:pPr>
    </w:p>
    <w:p>
      <w:pPr>
        <w:pStyle w:val="3"/>
        <w:spacing w:before="0" w:after="0" w:line="360" w:lineRule="auto"/>
        <w:rPr>
          <w:rFonts w:ascii="黑体" w:hAnsi="宋体" w:eastAsia="黑体"/>
          <w:color w:val="000000"/>
          <w:sz w:val="24"/>
          <w:szCs w:val="24"/>
        </w:rPr>
      </w:pPr>
      <w:bookmarkStart w:id="53" w:name="_Toc313888360"/>
      <w:bookmarkStart w:id="54" w:name="_Toc415471845"/>
      <w:bookmarkStart w:id="55" w:name="_Toc342913419"/>
      <w:bookmarkStart w:id="56" w:name="_Toc313008356"/>
      <w:bookmarkStart w:id="57" w:name="_Toc283382454"/>
      <w:bookmarkStart w:id="58" w:name="_Toc12789073"/>
      <w:r>
        <w:rPr>
          <w:rFonts w:hint="eastAsia" w:ascii="黑体" w:hAnsi="宋体" w:eastAsia="黑体"/>
          <w:color w:val="000000"/>
          <w:sz w:val="24"/>
          <w:szCs w:val="24"/>
        </w:rPr>
        <w:t>一、经济部分</w:t>
      </w:r>
      <w:bookmarkEnd w:id="53"/>
      <w:bookmarkEnd w:id="54"/>
      <w:bookmarkEnd w:id="55"/>
      <w:bookmarkEnd w:id="56"/>
    </w:p>
    <w:bookmarkEnd w:id="57"/>
    <w:bookmarkEnd w:id="58"/>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tabs>
          <w:tab w:val="left" w:pos="6300"/>
        </w:tabs>
        <w:snapToGrid w:val="0"/>
        <w:spacing w:line="480" w:lineRule="exact"/>
        <w:jc w:val="center"/>
        <w:outlineLvl w:val="0"/>
        <w:rPr>
          <w:rFonts w:ascii="黑体" w:hAnsi="宋体" w:eastAsia="黑体"/>
          <w:b/>
          <w:color w:val="000000"/>
          <w:szCs w:val="28"/>
        </w:rPr>
      </w:pPr>
      <w:r>
        <w:rPr>
          <w:rFonts w:hint="eastAsia" w:ascii="黑体" w:hAnsi="宋体" w:eastAsia="黑体"/>
          <w:b/>
          <w:color w:val="000000"/>
          <w:szCs w:val="28"/>
        </w:rPr>
        <w:t>竞争性报价函</w:t>
      </w:r>
    </w:p>
    <w:p>
      <w:pPr>
        <w:tabs>
          <w:tab w:val="left" w:pos="6300"/>
        </w:tabs>
        <w:snapToGrid w:val="0"/>
        <w:spacing w:line="360" w:lineRule="auto"/>
        <w:rPr>
          <w:rFonts w:ascii="黑体" w:hAnsi="宋体" w:eastAsia="黑体"/>
          <w:color w:val="000000"/>
          <w:sz w:val="24"/>
          <w:szCs w:val="24"/>
        </w:rPr>
      </w:pPr>
      <w:r>
        <w:rPr>
          <w:rFonts w:hint="eastAsia" w:ascii="黑体" w:hAnsi="宋体" w:eastAsia="黑体"/>
          <w:color w:val="000000"/>
          <w:sz w:val="24"/>
          <w:szCs w:val="24"/>
          <w:u w:val="single"/>
        </w:rPr>
        <w:t>重庆市江北区中医院</w:t>
      </w:r>
      <w:r>
        <w:rPr>
          <w:rFonts w:hint="eastAsia" w:ascii="黑体" w:hAnsi="宋体" w:eastAsia="黑体"/>
          <w:color w:val="000000"/>
          <w:sz w:val="24"/>
          <w:szCs w:val="24"/>
        </w:rPr>
        <w:t>：</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我方收到____________________________（磋商项目名称）的竞争性磋商文件，经详细研究，决定参加该磋商项目的竞争磋商。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1、愿意按照竞争性磋商文件中的一切要求，提供本项目的交货及技术服务，初始报价详见开标一览表。以我公司最后报价为准。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2、我方现提交的响应文件为：响应文件正本份，副本份。</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3、我方承诺：本次磋商的有效期为90天。</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4、我方完全理解和接受贵方竞争性磋商文件的一切规定和要求及磋商评审办法。</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7、我方同意按竞争性磋商文件规定，交纳竞争性磋商文件要求的保证金。如果我方成为成交供应商，保证在接到成交通知书后，向采购代理机构交纳竞争性磋商文件规定的采购代理服务费。</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供应商（公章）：</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 xml:space="preserve">地址：  </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电话：                           传真：</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网址：                           邮编：</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联系人：</w:t>
      </w: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                               年   月   日</w:t>
      </w: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采购项目名称：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240"/>
        <w:gridCol w:w="840"/>
        <w:gridCol w:w="22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投标人全称</w:t>
            </w:r>
          </w:p>
        </w:tc>
        <w:tc>
          <w:tcPr>
            <w:tcW w:w="7840" w:type="dxa"/>
            <w:gridSpan w:val="4"/>
            <w:vAlign w:val="center"/>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分包号</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招标分包项目名称</w:t>
            </w:r>
          </w:p>
        </w:tc>
        <w:tc>
          <w:tcPr>
            <w:tcW w:w="8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数量</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投标报价（小写）</w:t>
            </w:r>
          </w:p>
          <w:p>
            <w:pPr>
              <w:spacing w:line="400" w:lineRule="exact"/>
              <w:rPr>
                <w:rFonts w:ascii="黑体" w:hAnsi="宋体" w:eastAsia="黑体"/>
                <w:color w:val="000000"/>
                <w:sz w:val="24"/>
                <w:szCs w:val="24"/>
              </w:rPr>
            </w:pPr>
            <w:r>
              <w:rPr>
                <w:rFonts w:hint="eastAsia" w:ascii="黑体" w:hAnsi="宋体" w:eastAsia="黑体"/>
                <w:color w:val="000000"/>
                <w:sz w:val="24"/>
                <w:szCs w:val="24"/>
              </w:rPr>
              <w:t>单位（元）</w:t>
            </w:r>
          </w:p>
        </w:tc>
        <w:tc>
          <w:tcPr>
            <w:tcW w:w="252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维保年限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840" w:type="dxa"/>
            <w:tcBorders>
              <w:bottom w:val="single" w:color="auto" w:sz="4" w:space="0"/>
            </w:tcBorders>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2520" w:type="dxa"/>
            <w:tcBorders>
              <w:bottom w:val="single" w:color="auto" w:sz="4" w:space="0"/>
            </w:tcBorders>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备注：</w:t>
            </w:r>
          </w:p>
        </w:tc>
      </w:tr>
    </w:tbl>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投标人：                                 法人授权代表：</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（投标人公章）                               （签字）</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年     月     日</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说明：</w:t>
      </w:r>
    </w:p>
    <w:p>
      <w:pPr>
        <w:spacing w:line="400" w:lineRule="exact"/>
        <w:rPr>
          <w:rFonts w:ascii="黑体" w:hAnsi="宋体" w:eastAsia="黑体"/>
          <w:color w:val="000000"/>
          <w:sz w:val="24"/>
          <w:szCs w:val="24"/>
        </w:rPr>
      </w:pPr>
      <w:r>
        <w:rPr>
          <w:rFonts w:hint="eastAsia" w:ascii="黑体" w:hAnsi="宋体" w:eastAsia="黑体"/>
          <w:color w:val="000000"/>
          <w:sz w:val="24"/>
          <w:szCs w:val="24"/>
        </w:rPr>
        <w:t>1、开标一览表按分包填列，除签字外，均为打印体。每一分包单独一张表开标一览表；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2、开标一览表在开标大会上当众宣读，务必填写清楚，准确无误。</w:t>
      </w:r>
    </w:p>
    <w:p>
      <w:pPr>
        <w:snapToGrid w:val="0"/>
        <w:spacing w:line="360" w:lineRule="auto"/>
        <w:rPr>
          <w:rFonts w:ascii="黑体" w:hAnsi="宋体" w:eastAsia="黑体"/>
          <w:color w:val="000000"/>
          <w:sz w:val="24"/>
          <w:szCs w:val="24"/>
        </w:rPr>
      </w:pPr>
      <w:r>
        <w:rPr>
          <w:rFonts w:hint="eastAsia" w:ascii="黑体" w:hAnsi="宋体" w:eastAsia="黑体"/>
          <w:color w:val="000000"/>
          <w:sz w:val="24"/>
          <w:szCs w:val="24"/>
        </w:rPr>
        <w:t>3、该表可扩展为其他分包。</w:t>
      </w:r>
    </w:p>
    <w:p>
      <w:pPr>
        <w:snapToGrid w:val="0"/>
        <w:spacing w:line="360" w:lineRule="auto"/>
        <w:ind w:firstLine="480" w:firstLineChars="200"/>
        <w:rPr>
          <w:rFonts w:ascii="黑体" w:hAnsi="宋体" w:eastAsia="黑体"/>
          <w:color w:val="000000"/>
          <w:sz w:val="24"/>
          <w:szCs w:val="24"/>
        </w:rPr>
      </w:pPr>
    </w:p>
    <w:p/>
    <w:p/>
    <w:p>
      <w:pPr>
        <w:pStyle w:val="3"/>
        <w:spacing w:before="0" w:after="0" w:line="360" w:lineRule="auto"/>
        <w:ind w:firstLine="472" w:firstLineChars="196"/>
        <w:rPr>
          <w:rFonts w:ascii="黑体" w:hAnsi="宋体" w:eastAsia="黑体"/>
          <w:sz w:val="24"/>
          <w:szCs w:val="24"/>
        </w:rPr>
      </w:pPr>
      <w:r>
        <w:rPr>
          <w:rFonts w:hint="eastAsia" w:ascii="黑体" w:hAnsi="宋体" w:eastAsia="黑体"/>
          <w:sz w:val="24"/>
          <w:szCs w:val="24"/>
        </w:rPr>
        <w:t>二、维保服务部分</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（一）维保服务应答（格式自定）</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（二）维保方案格式要求：</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第一部分：维保内容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第二部分：初次检查维修方案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第三部分：维修保养方案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1、定期（月）检查内容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2、季度检查内容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3、年度检查内容（重复季度检查内容、配合电梯安全大检查对故障进行维修、提供年度检查报告）</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第四部分：故障处理维修方案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第五部分：安全文明施工措施</w:t>
      </w: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tabs>
          <w:tab w:val="left" w:pos="6300"/>
        </w:tabs>
        <w:snapToGrid w:val="0"/>
        <w:spacing w:line="500" w:lineRule="exact"/>
        <w:ind w:firstLine="570"/>
        <w:rPr>
          <w:rFonts w:ascii="黑体" w:hAnsi="宋体" w:eastAsia="黑体"/>
          <w:szCs w:val="24"/>
        </w:rPr>
      </w:pPr>
      <w:r>
        <w:rPr>
          <w:rFonts w:hint="eastAsia" w:ascii="黑体" w:hAnsi="宋体" w:eastAsia="黑体"/>
          <w:sz w:val="24"/>
          <w:szCs w:val="24"/>
        </w:rPr>
        <w:t>（三）维保服务响应偏离表</w:t>
      </w:r>
    </w:p>
    <w:p>
      <w:pPr>
        <w:pStyle w:val="7"/>
        <w:tabs>
          <w:tab w:val="left" w:pos="6300"/>
        </w:tabs>
        <w:snapToGrid w:val="0"/>
        <w:spacing w:line="500" w:lineRule="exact"/>
        <w:ind w:firstLine="480" w:firstLineChars="200"/>
        <w:outlineLvl w:val="0"/>
        <w:rPr>
          <w:rFonts w:ascii="黑体" w:hAnsi="宋体" w:eastAsia="黑体"/>
          <w:sz w:val="24"/>
        </w:rPr>
      </w:pPr>
      <w:r>
        <w:rPr>
          <w:rFonts w:hint="eastAsia" w:ascii="黑体" w:hAnsi="宋体" w:eastAsia="黑体"/>
          <w:sz w:val="24"/>
        </w:rPr>
        <w:t>采购项目名称：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序号</w:t>
            </w: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采购需求</w:t>
            </w: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响应情况</w:t>
            </w: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bl>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720" w:firstLineChars="30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、本表即为对本项目“第三篇  磋商项目服务需求”中所列服务要求进行比较和响应；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4、可附相关技术支撑材料。（格式自定）</w:t>
      </w:r>
    </w:p>
    <w:p>
      <w:pPr>
        <w:tabs>
          <w:tab w:val="left" w:pos="6300"/>
        </w:tabs>
        <w:snapToGrid w:val="0"/>
        <w:spacing w:line="500" w:lineRule="exact"/>
        <w:ind w:firstLine="480" w:firstLineChars="200"/>
        <w:rPr>
          <w:rFonts w:ascii="黑体" w:hAnsi="宋体" w:eastAsia="黑体"/>
          <w:sz w:val="24"/>
          <w:szCs w:val="24"/>
        </w:rPr>
      </w:pPr>
      <w:r>
        <w:rPr>
          <w:rFonts w:hint="eastAsia" w:ascii="黑体" w:hAnsi="宋体" w:eastAsia="黑体"/>
          <w:sz w:val="24"/>
        </w:rPr>
        <w:t>5、若“响应情况”栏中仅填写“无偏离”或“有偏离”等内容而未作实质性参数描述，该供应商将</w:t>
      </w:r>
      <w:r>
        <w:rPr>
          <w:rFonts w:hint="eastAsia" w:ascii="黑体" w:hAnsi="宋体" w:eastAsia="黑体"/>
          <w:sz w:val="24"/>
          <w:szCs w:val="24"/>
        </w:rPr>
        <w:t>失去成为成交供应商的资格，仅保留其合格供应商的身份。</w:t>
      </w:r>
    </w:p>
    <w:p>
      <w:pPr>
        <w:rPr>
          <w:rFonts w:ascii="黑体" w:hAnsi="宋体" w:eastAsia="黑体"/>
          <w:szCs w:val="24"/>
        </w:rPr>
      </w:pPr>
    </w:p>
    <w:p>
      <w:pPr>
        <w:pStyle w:val="3"/>
        <w:spacing w:before="0" w:after="0" w:line="360" w:lineRule="auto"/>
        <w:rPr>
          <w:rFonts w:ascii="黑体" w:hAnsi="宋体" w:eastAsia="黑体"/>
          <w:sz w:val="24"/>
          <w:szCs w:val="24"/>
        </w:rPr>
      </w:pPr>
      <w:bookmarkStart w:id="59" w:name="_Toc415471847"/>
      <w:r>
        <w:rPr>
          <w:rFonts w:hint="eastAsia" w:ascii="黑体" w:hAnsi="宋体" w:eastAsia="黑体"/>
          <w:sz w:val="24"/>
          <w:szCs w:val="24"/>
        </w:rPr>
        <w:t>三、商务部分</w:t>
      </w:r>
      <w:bookmarkEnd w:id="59"/>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（一）商务要求响应情况：维保服务期、维保服务地点、商务条款等（格式自定）</w:t>
      </w:r>
    </w:p>
    <w:p>
      <w:pPr>
        <w:snapToGrid w:val="0"/>
        <w:spacing w:line="360" w:lineRule="auto"/>
        <w:ind w:firstLine="480" w:firstLineChars="200"/>
        <w:rPr>
          <w:rFonts w:ascii="黑体" w:hAnsi="宋体" w:eastAsia="黑体"/>
          <w:b/>
          <w:bCs/>
          <w:color w:val="000000"/>
          <w:sz w:val="24"/>
          <w:szCs w:val="24"/>
        </w:rPr>
      </w:pPr>
      <w:r>
        <w:rPr>
          <w:rFonts w:hint="eastAsia" w:ascii="黑体" w:hAnsi="宋体" w:eastAsia="黑体"/>
          <w:sz w:val="24"/>
          <w:szCs w:val="24"/>
        </w:rPr>
        <w:t>（二）</w:t>
      </w:r>
      <w:r>
        <w:rPr>
          <w:rFonts w:hint="eastAsia" w:ascii="黑体" w:hAnsi="宋体" w:eastAsia="黑体"/>
          <w:b/>
          <w:bCs/>
          <w:color w:val="000000"/>
          <w:sz w:val="24"/>
          <w:szCs w:val="24"/>
        </w:rPr>
        <w:t>服务承诺内容要求：（必须有以下三个方面）</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1、有安全服务承诺</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2、有及时服务承诺</w:t>
      </w:r>
    </w:p>
    <w:p>
      <w:pPr>
        <w:rPr>
          <w:rFonts w:ascii="黑体" w:hAnsi="宋体" w:eastAsia="黑体"/>
          <w:szCs w:val="24"/>
        </w:rPr>
      </w:pPr>
      <w:r>
        <w:rPr>
          <w:rFonts w:hint="eastAsia" w:ascii="黑体" w:hAnsi="宋体" w:eastAsia="黑体"/>
          <w:b/>
          <w:bCs/>
          <w:color w:val="000000"/>
          <w:sz w:val="24"/>
          <w:szCs w:val="24"/>
        </w:rPr>
        <w:t xml:space="preserve">      3、有规范服务承诺</w:t>
      </w:r>
    </w:p>
    <w:p>
      <w:pPr>
        <w:spacing w:line="360" w:lineRule="auto"/>
        <w:ind w:firstLine="560" w:firstLineChars="200"/>
        <w:rPr>
          <w:rFonts w:ascii="黑体" w:hAnsi="宋体" w:eastAsia="黑体"/>
          <w:sz w:val="24"/>
          <w:szCs w:val="24"/>
        </w:rPr>
      </w:pPr>
      <w:r>
        <w:rPr>
          <w:rFonts w:hint="eastAsia" w:ascii="黑体" w:hAnsi="宋体" w:eastAsia="黑体"/>
          <w:szCs w:val="24"/>
        </w:rPr>
        <w:br w:type="page"/>
      </w:r>
      <w:r>
        <w:rPr>
          <w:rFonts w:hint="eastAsia" w:ascii="黑体" w:hAnsi="宋体" w:eastAsia="黑体"/>
          <w:sz w:val="24"/>
          <w:szCs w:val="24"/>
        </w:rPr>
        <w:t>三）商务响应偏离表</w:t>
      </w:r>
    </w:p>
    <w:p>
      <w:pPr>
        <w:snapToGrid w:val="0"/>
        <w:spacing w:line="360" w:lineRule="auto"/>
        <w:jc w:val="center"/>
        <w:rPr>
          <w:rFonts w:ascii="黑体" w:hAnsi="宋体" w:eastAsia="黑体"/>
          <w:b/>
          <w:szCs w:val="28"/>
        </w:rPr>
      </w:pPr>
      <w:r>
        <w:rPr>
          <w:rFonts w:hint="eastAsia" w:ascii="黑体" w:hAnsi="宋体" w:eastAsia="黑体"/>
          <w:b/>
          <w:szCs w:val="28"/>
        </w:rPr>
        <w:t>商务响应偏离表（本表可自行设计格式）</w:t>
      </w:r>
    </w:p>
    <w:p>
      <w:pPr>
        <w:snapToGrid w:val="0"/>
        <w:spacing w:line="360" w:lineRule="auto"/>
        <w:ind w:firstLine="465"/>
        <w:rPr>
          <w:rFonts w:ascii="黑体" w:hAnsi="宋体" w:eastAsia="黑体"/>
          <w:sz w:val="24"/>
          <w:szCs w:val="24"/>
        </w:rPr>
      </w:pPr>
      <w:r>
        <w:rPr>
          <w:rFonts w:hint="eastAsia" w:ascii="黑体" w:hAnsi="宋体" w:eastAsia="黑体"/>
          <w:sz w:val="24"/>
          <w:szCs w:val="24"/>
        </w:rPr>
        <w:t>对于竞争性</w:t>
      </w:r>
      <w:r>
        <w:rPr>
          <w:rFonts w:hint="eastAsia" w:ascii="黑体" w:hAnsi="宋体" w:eastAsia="黑体"/>
          <w:color w:val="000000"/>
          <w:sz w:val="24"/>
          <w:szCs w:val="24"/>
        </w:rPr>
        <w:t>磋商</w:t>
      </w:r>
      <w:r>
        <w:rPr>
          <w:rFonts w:hint="eastAsia" w:ascii="黑体" w:hAnsi="宋体" w:eastAsia="黑体"/>
          <w:sz w:val="24"/>
          <w:szCs w:val="24"/>
        </w:rPr>
        <w:t>文件的商务要求，如有任何偏离请如实填写下表：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序号</w:t>
            </w: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磋商项目需求</w:t>
            </w: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响应情况</w:t>
            </w: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bl>
    <w:p>
      <w:pPr>
        <w:snapToGrid w:val="0"/>
        <w:spacing w:line="360" w:lineRule="auto"/>
        <w:ind w:firstLine="465"/>
        <w:rPr>
          <w:rFonts w:ascii="黑体" w:hAnsi="宋体" w:eastAsia="黑体"/>
          <w:sz w:val="24"/>
          <w:szCs w:val="24"/>
        </w:rPr>
      </w:pPr>
    </w:p>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360" w:firstLineChars="15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、本表即为对本项目“第三篇 磋商项目商务需求”中所列服务要求进行比较和响应；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spacing w:line="360" w:lineRule="auto"/>
        <w:ind w:firstLine="560" w:firstLineChars="200"/>
        <w:jc w:val="center"/>
        <w:rPr>
          <w:rFonts w:ascii="黑体" w:hAnsi="宋体" w:eastAsia="黑体"/>
          <w:sz w:val="24"/>
          <w:szCs w:val="24"/>
        </w:rPr>
      </w:pPr>
      <w:r>
        <w:rPr>
          <w:rFonts w:hint="eastAsia" w:ascii="黑体" w:eastAsia="黑体"/>
        </w:rPr>
        <w:br w:type="page"/>
      </w:r>
      <w:r>
        <w:rPr>
          <w:rFonts w:hint="eastAsia" w:ascii="黑体" w:hAnsi="宋体" w:eastAsia="黑体"/>
          <w:sz w:val="24"/>
          <w:szCs w:val="24"/>
        </w:rPr>
        <w:t>（四）其它优惠承诺（格式自定）</w:t>
      </w:r>
    </w:p>
    <w:p/>
    <w:p/>
    <w:p/>
    <w:p/>
    <w:p/>
    <w:p/>
    <w:p/>
    <w:p/>
    <w:p/>
    <w:p/>
    <w:p/>
    <w:p/>
    <w:p/>
    <w:p/>
    <w:p/>
    <w:p/>
    <w:p/>
    <w:p/>
    <w:p/>
    <w:p/>
    <w:p/>
    <w:p>
      <w:pPr>
        <w:pStyle w:val="3"/>
        <w:spacing w:before="0" w:after="0" w:line="360" w:lineRule="auto"/>
        <w:rPr>
          <w:rFonts w:ascii="黑体" w:eastAsia="黑体"/>
        </w:rPr>
      </w:pPr>
      <w:bookmarkStart w:id="60" w:name="_Toc313008359"/>
      <w:bookmarkStart w:id="61" w:name="_Toc313888363"/>
      <w:bookmarkStart w:id="62" w:name="_Toc342913422"/>
      <w:bookmarkStart w:id="63" w:name="_Toc415471848"/>
      <w:r>
        <w:rPr>
          <w:rFonts w:hint="eastAsia" w:ascii="黑体" w:hAnsi="宋体" w:eastAsia="黑体"/>
          <w:sz w:val="24"/>
          <w:szCs w:val="24"/>
        </w:rPr>
        <w:t>四、资格条件及其他</w:t>
      </w:r>
      <w:bookmarkEnd w:id="60"/>
      <w:bookmarkEnd w:id="61"/>
      <w:bookmarkEnd w:id="62"/>
      <w:bookmarkEnd w:id="63"/>
    </w:p>
    <w:p>
      <w:pPr>
        <w:numPr>
          <w:ilvl w:val="0"/>
          <w:numId w:val="4"/>
        </w:num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一般资格条件</w:t>
      </w:r>
    </w:p>
    <w:p>
      <w:pPr>
        <w:tabs>
          <w:tab w:val="left" w:pos="6300"/>
        </w:tabs>
        <w:snapToGrid w:val="0"/>
        <w:spacing w:line="360" w:lineRule="auto"/>
        <w:rPr>
          <w:rFonts w:ascii="黑体" w:hAnsi="宋体" w:eastAsia="黑体"/>
          <w:b/>
          <w:szCs w:val="28"/>
        </w:rPr>
      </w:pPr>
      <w:r>
        <w:rPr>
          <w:rFonts w:hint="eastAsia" w:ascii="黑体" w:hAnsi="宋体" w:eastAsia="黑体"/>
          <w:sz w:val="24"/>
          <w:szCs w:val="24"/>
        </w:rPr>
        <w:t xml:space="preserve">    1、法定代表人身份证明书、法定代表人授权委托书、营业执照复印件</w:t>
      </w:r>
    </w:p>
    <w:p>
      <w:pPr>
        <w:tabs>
          <w:tab w:val="left" w:pos="6300"/>
        </w:tabs>
        <w:snapToGrid w:val="0"/>
        <w:spacing w:line="400" w:lineRule="atLeast"/>
        <w:jc w:val="center"/>
        <w:outlineLvl w:val="0"/>
        <w:rPr>
          <w:rFonts w:ascii="黑体" w:hAnsi="宋体" w:eastAsia="黑体"/>
          <w:b/>
          <w:szCs w:val="28"/>
        </w:rPr>
      </w:pP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1.1法定代表人身份证明书（格式）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640" w:firstLineChars="267"/>
        <w:rPr>
          <w:rFonts w:ascii="黑体" w:hAnsi="宋体" w:eastAsia="黑体"/>
          <w:sz w:val="24"/>
          <w:szCs w:val="24"/>
        </w:rPr>
      </w:pPr>
      <w:r>
        <w:rPr>
          <w:rFonts w:hint="eastAsia" w:ascii="黑体" w:hAnsi="宋体" w:eastAsia="黑体"/>
          <w:sz w:val="24"/>
          <w:szCs w:val="24"/>
        </w:rPr>
        <w:t>（法定代表人姓名）在（供应商名称）任（职务名称）职务，是__________________（竞争人名称）的法定代表人。</w:t>
      </w:r>
    </w:p>
    <w:p>
      <w:pPr>
        <w:tabs>
          <w:tab w:val="left" w:pos="6300"/>
        </w:tabs>
        <w:snapToGrid w:val="0"/>
        <w:spacing w:line="360" w:lineRule="auto"/>
        <w:ind w:firstLine="573"/>
        <w:rPr>
          <w:rFonts w:ascii="黑体" w:hAnsi="宋体" w:eastAsia="黑体"/>
          <w:sz w:val="24"/>
          <w:szCs w:val="24"/>
        </w:rPr>
      </w:pPr>
    </w:p>
    <w:p>
      <w:pPr>
        <w:tabs>
          <w:tab w:val="left" w:pos="6300"/>
        </w:tabs>
        <w:snapToGrid w:val="0"/>
        <w:spacing w:line="360" w:lineRule="auto"/>
        <w:ind w:firstLine="573"/>
        <w:outlineLvl w:val="0"/>
        <w:rPr>
          <w:rFonts w:ascii="黑体" w:hAnsi="宋体" w:eastAsia="黑体"/>
          <w:sz w:val="24"/>
          <w:szCs w:val="24"/>
        </w:rPr>
      </w:pPr>
      <w:r>
        <w:rPr>
          <w:rFonts w:hint="eastAsia" w:ascii="黑体" w:hAnsi="宋体" w:eastAsia="黑体"/>
          <w:sz w:val="24"/>
          <w:szCs w:val="24"/>
        </w:rPr>
        <w:t>特此证明。</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outlineLvl w:val="0"/>
        <w:rPr>
          <w:rFonts w:ascii="黑体" w:hAnsi="宋体" w:eastAsia="黑体"/>
          <w:sz w:val="24"/>
          <w:szCs w:val="24"/>
        </w:rPr>
      </w:pPr>
      <w:r>
        <w:rPr>
          <w:rFonts w:hint="eastAsia" w:ascii="黑体" w:hAnsi="宋体" w:eastAsia="黑体"/>
          <w:sz w:val="24"/>
          <w:szCs w:val="24"/>
        </w:rPr>
        <w:t xml:space="preserve">                                            （供应商全称）</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年   月   日</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（公章）</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附：上述法定代表人住址：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身份证号码：</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电    传：</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网    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邮政编码：</w:t>
      </w:r>
    </w:p>
    <w:p>
      <w:pPr>
        <w:tabs>
          <w:tab w:val="left" w:pos="6300"/>
        </w:tabs>
        <w:snapToGrid w:val="0"/>
        <w:spacing w:line="500" w:lineRule="exact"/>
        <w:ind w:firstLine="570"/>
        <w:rPr>
          <w:rFonts w:ascii="黑体" w:hAnsi="宋体" w:eastAsia="黑体"/>
          <w:sz w:val="24"/>
          <w:szCs w:val="28"/>
        </w:rPr>
      </w:pPr>
      <w:r>
        <w:rPr>
          <w:rFonts w:hint="eastAsia" w:ascii="黑体" w:hAnsi="宋体" w:eastAsia="黑体"/>
          <w:sz w:val="24"/>
          <w:szCs w:val="28"/>
        </w:rPr>
        <w:t>（附：法定代表人身份证复印件）</w:t>
      </w:r>
    </w:p>
    <w:p>
      <w:pPr>
        <w:tabs>
          <w:tab w:val="left" w:pos="6300"/>
        </w:tabs>
        <w:snapToGrid w:val="0"/>
        <w:spacing w:line="360" w:lineRule="auto"/>
        <w:rPr>
          <w:rFonts w:ascii="黑体" w:hAnsi="宋体" w:eastAsia="黑体"/>
          <w:sz w:val="24"/>
          <w:szCs w:val="24"/>
        </w:rPr>
      </w:pPr>
    </w:p>
    <w:p>
      <w:pPr>
        <w:tabs>
          <w:tab w:val="left" w:pos="6300"/>
        </w:tabs>
        <w:snapToGrid w:val="0"/>
        <w:spacing w:line="400" w:lineRule="atLeast"/>
        <w:rPr>
          <w:rFonts w:ascii="黑体" w:eastAsia="黑体"/>
        </w:rPr>
      </w:pPr>
    </w:p>
    <w:p>
      <w:pPr>
        <w:rPr>
          <w:rFonts w:ascii="黑体" w:hAnsi="宋体" w:eastAsia="黑体"/>
          <w:b/>
          <w:szCs w:val="28"/>
        </w:rPr>
      </w:pPr>
      <w:r>
        <w:rPr>
          <w:rFonts w:hint="eastAsia" w:ascii="黑体" w:hAnsi="宋体" w:eastAsia="黑体"/>
          <w:b/>
          <w:szCs w:val="28"/>
        </w:rPr>
        <w:br w:type="page"/>
      </w: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1.2法定代表人授权委托书（格式）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项目名称：_______________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日    期：_______________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致：_重庆市江北区中医院__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 xml:space="preserve"> _________（供应商法定代表人姓名）特授权_________（被授权人姓名及身份证代码）代表我单位全权办理对上述项目的</w:t>
      </w:r>
      <w:r>
        <w:rPr>
          <w:rFonts w:hint="eastAsia" w:ascii="黑体" w:hAnsi="宋体" w:eastAsia="黑体"/>
          <w:color w:val="000000"/>
          <w:sz w:val="24"/>
          <w:szCs w:val="24"/>
        </w:rPr>
        <w:t>磋商</w:t>
      </w:r>
      <w:r>
        <w:rPr>
          <w:rFonts w:hint="eastAsia" w:ascii="黑体" w:hAnsi="宋体" w:eastAsia="黑体"/>
          <w:sz w:val="24"/>
          <w:szCs w:val="24"/>
        </w:rPr>
        <w:t>、签约等具体工作，并签署全部有关的文件、协议及合同。</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我单位对被授权人的签字负全部责任。</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被授权人：                                  法定代表人：</w:t>
      </w:r>
    </w:p>
    <w:p>
      <w:pPr>
        <w:tabs>
          <w:tab w:val="left" w:pos="6300"/>
        </w:tabs>
        <w:snapToGrid w:val="0"/>
        <w:spacing w:line="360" w:lineRule="auto"/>
        <w:ind w:firstLine="240" w:firstLineChars="100"/>
        <w:rPr>
          <w:rFonts w:ascii="黑体" w:hAnsi="宋体" w:eastAsia="黑体"/>
          <w:sz w:val="24"/>
          <w:szCs w:val="24"/>
        </w:rPr>
      </w:pPr>
      <w:r>
        <w:rPr>
          <w:rFonts w:hint="eastAsia" w:ascii="黑体" w:hAnsi="宋体" w:eastAsia="黑体"/>
          <w:sz w:val="24"/>
          <w:szCs w:val="28"/>
        </w:rPr>
        <w:t>（签字或盖章）（签字或盖章）</w:t>
      </w:r>
      <w:r>
        <w:rPr>
          <w:rFonts w:hint="eastAsia" w:ascii="黑体" w:hAnsi="宋体" w:eastAsia="黑体"/>
          <w:sz w:val="24"/>
          <w:szCs w:val="24"/>
        </w:rPr>
        <w:t>：</w:t>
      </w:r>
    </w:p>
    <w:p>
      <w:pPr>
        <w:tabs>
          <w:tab w:val="left" w:pos="6300"/>
        </w:tabs>
        <w:snapToGrid w:val="0"/>
        <w:spacing w:line="500" w:lineRule="exact"/>
        <w:ind w:firstLine="570"/>
        <w:rPr>
          <w:rFonts w:ascii="黑体" w:hAnsi="宋体" w:eastAsia="黑体"/>
          <w:sz w:val="24"/>
          <w:szCs w:val="28"/>
        </w:rPr>
      </w:pPr>
    </w:p>
    <w:p>
      <w:pPr>
        <w:tabs>
          <w:tab w:val="left" w:pos="6300"/>
        </w:tabs>
        <w:snapToGrid w:val="0"/>
        <w:spacing w:line="500" w:lineRule="exact"/>
        <w:ind w:firstLine="570"/>
        <w:rPr>
          <w:rFonts w:ascii="黑体" w:hAnsi="宋体" w:eastAsia="黑体"/>
          <w:sz w:val="24"/>
          <w:szCs w:val="28"/>
        </w:rPr>
      </w:pPr>
      <w:bookmarkStart w:id="64" w:name="OLE_LINK3"/>
      <w:bookmarkStart w:id="65" w:name="OLE_LINK4"/>
      <w:r>
        <w:rPr>
          <w:rFonts w:hint="eastAsia" w:ascii="黑体" w:hAnsi="宋体" w:eastAsia="黑体"/>
          <w:sz w:val="24"/>
          <w:szCs w:val="28"/>
        </w:rPr>
        <w:t>（附：被授权人身份证复印件）</w:t>
      </w:r>
      <w:bookmarkEnd w:id="64"/>
      <w:bookmarkEnd w:id="65"/>
    </w:p>
    <w:p>
      <w:pPr>
        <w:tabs>
          <w:tab w:val="left" w:pos="6300"/>
        </w:tabs>
        <w:snapToGrid w:val="0"/>
        <w:spacing w:line="360" w:lineRule="auto"/>
        <w:rPr>
          <w:rFonts w:ascii="黑体" w:hAnsi="宋体" w:eastAsia="黑体"/>
          <w:sz w:val="24"/>
          <w:szCs w:val="24"/>
        </w:rPr>
      </w:pPr>
    </w:p>
    <w:p>
      <w:pPr>
        <w:snapToGrid w:val="0"/>
        <w:spacing w:line="360" w:lineRule="auto"/>
        <w:rPr>
          <w:rFonts w:ascii="黑体" w:hAnsi="宋体" w:eastAsia="黑体"/>
          <w:sz w:val="24"/>
          <w:szCs w:val="24"/>
        </w:rPr>
      </w:pPr>
      <w:r>
        <w:rPr>
          <w:rFonts w:hint="eastAsia" w:ascii="黑体" w:hAnsi="宋体" w:eastAsia="黑体"/>
          <w:sz w:val="24"/>
          <w:szCs w:val="24"/>
        </w:rPr>
        <w:t xml:space="preserve">                                                    （供应商公章）</w:t>
      </w:r>
    </w:p>
    <w:p>
      <w:pPr>
        <w:snapToGrid w:val="0"/>
        <w:spacing w:line="360" w:lineRule="auto"/>
        <w:ind w:firstLine="6480" w:firstLineChars="2700"/>
        <w:rPr>
          <w:rFonts w:ascii="黑体" w:hAnsi="宋体" w:eastAsia="黑体"/>
          <w:sz w:val="24"/>
          <w:szCs w:val="24"/>
        </w:rPr>
      </w:pPr>
      <w:r>
        <w:rPr>
          <w:rFonts w:hint="eastAsia" w:ascii="黑体" w:hAnsi="宋体" w:eastAsia="黑体"/>
          <w:sz w:val="24"/>
          <w:szCs w:val="28"/>
        </w:rPr>
        <w:t>年   月   日</w:t>
      </w:r>
    </w:p>
    <w:p>
      <w:pPr>
        <w:rPr>
          <w:rFonts w:ascii="黑体" w:hAnsi="宋体" w:eastAsia="黑体"/>
          <w:b/>
          <w:szCs w:val="28"/>
        </w:rPr>
      </w:pPr>
      <w:r>
        <w:rPr>
          <w:rFonts w:hint="eastAsia" w:ascii="黑体" w:hAnsi="宋体" w:eastAsia="黑体"/>
          <w:sz w:val="24"/>
          <w:szCs w:val="24"/>
        </w:rPr>
        <w:br w:type="page"/>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1.3营业执照副本复印件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2、最近一年财务报表的复印件（可用诚信声明代替）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3、售后服务机构、服务能力证明材料（格式自定）</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4、近三个月的缴税记录和社会保险缴纳证明（提供复印件）（可用诚信声明代替）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5、参加本项目采购活动诚信声明：</w:t>
      </w:r>
    </w:p>
    <w:p/>
    <w:p/>
    <w:p/>
    <w:p/>
    <w:p/>
    <w:p/>
    <w:p/>
    <w:p/>
    <w:p/>
    <w:p/>
    <w:p/>
    <w:p/>
    <w:p/>
    <w:p/>
    <w:p/>
    <w:p/>
    <w:p/>
    <w:p/>
    <w:p>
      <w:pPr>
        <w:tabs>
          <w:tab w:val="left" w:pos="6300"/>
        </w:tabs>
        <w:snapToGrid w:val="0"/>
        <w:spacing w:line="500" w:lineRule="exact"/>
        <w:ind w:firstLine="140" w:firstLineChars="50"/>
        <w:jc w:val="center"/>
        <w:rPr>
          <w:rFonts w:ascii="黑体" w:hAnsi="宋体" w:eastAsia="黑体"/>
          <w:szCs w:val="28"/>
        </w:rPr>
      </w:pPr>
      <w:r>
        <w:rPr>
          <w:rFonts w:hint="eastAsia" w:ascii="黑体" w:hAnsi="宋体" w:eastAsia="黑体"/>
          <w:szCs w:val="28"/>
        </w:rPr>
        <w:t>诚信声明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ind w:firstLine="480" w:firstLineChars="200"/>
        <w:rPr>
          <w:rFonts w:ascii="黑体" w:hAnsi="宋体" w:eastAsia="黑体"/>
          <w:sz w:val="24"/>
          <w:szCs w:val="28"/>
          <w:u w:val="single"/>
        </w:rPr>
      </w:pPr>
      <w:r>
        <w:rPr>
          <w:rFonts w:hint="eastAsia" w:ascii="黑体" w:hAnsi="宋体" w:eastAsia="黑体"/>
          <w:sz w:val="24"/>
          <w:szCs w:val="28"/>
        </w:rPr>
        <w:t>采购项目名称：</w:t>
      </w: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致：</w:t>
      </w:r>
      <w:r>
        <w:rPr>
          <w:rFonts w:hint="eastAsia" w:ascii="黑体" w:hAnsi="宋体" w:eastAsia="黑体"/>
          <w:sz w:val="24"/>
          <w:szCs w:val="28"/>
          <w:u w:val="single"/>
        </w:rPr>
        <w:t>重庆市江北区中医院</w:t>
      </w:r>
      <w:r>
        <w:rPr>
          <w:rFonts w:hint="eastAsia" w:ascii="黑体" w:hAnsi="宋体" w:eastAsia="黑体"/>
          <w:sz w:val="24"/>
          <w:szCs w:val="28"/>
        </w:rPr>
        <w:t>：</w:t>
      </w:r>
    </w:p>
    <w:p>
      <w:pPr>
        <w:pStyle w:val="29"/>
        <w:spacing w:line="440" w:lineRule="exact"/>
        <w:ind w:firstLine="480" w:firstLineChars="200"/>
        <w:rPr>
          <w:rFonts w:ascii="黑体" w:hAnsi="宋体" w:eastAsia="黑体"/>
          <w:sz w:val="24"/>
          <w:szCs w:val="28"/>
        </w:rPr>
      </w:pPr>
      <w:r>
        <w:rPr>
          <w:rFonts w:hint="eastAsia" w:ascii="黑体" w:hAnsi="宋体" w:eastAsia="黑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 xml:space="preserve">    特此声明。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ind w:firstLine="7440" w:firstLineChars="3100"/>
        <w:rPr>
          <w:rFonts w:ascii="黑体" w:hAnsi="宋体" w:eastAsia="黑体"/>
          <w:sz w:val="24"/>
          <w:szCs w:val="28"/>
        </w:rPr>
      </w:pPr>
      <w:r>
        <w:rPr>
          <w:rFonts w:hint="eastAsia" w:ascii="黑体" w:hAnsi="宋体" w:eastAsia="黑体"/>
          <w:sz w:val="24"/>
          <w:szCs w:val="28"/>
        </w:rPr>
        <w:t>（供应商公章）</w:t>
      </w:r>
    </w:p>
    <w:p>
      <w:pPr>
        <w:tabs>
          <w:tab w:val="left" w:pos="6300"/>
        </w:tabs>
        <w:snapToGrid w:val="0"/>
        <w:spacing w:line="360" w:lineRule="auto"/>
        <w:ind w:right="360" w:firstLine="480" w:firstLineChars="200"/>
        <w:jc w:val="right"/>
        <w:rPr>
          <w:rFonts w:ascii="黑体" w:hAnsi="宋体" w:eastAsia="黑体"/>
          <w:sz w:val="24"/>
          <w:szCs w:val="28"/>
        </w:rPr>
      </w:pPr>
    </w:p>
    <w:p>
      <w:pPr>
        <w:tabs>
          <w:tab w:val="left" w:pos="6300"/>
        </w:tabs>
        <w:snapToGrid w:val="0"/>
        <w:spacing w:line="360" w:lineRule="auto"/>
        <w:ind w:right="360" w:firstLine="480" w:firstLineChars="200"/>
        <w:jc w:val="right"/>
        <w:rPr>
          <w:rFonts w:ascii="黑体" w:hAnsi="宋体" w:eastAsia="黑体"/>
          <w:sz w:val="24"/>
          <w:szCs w:val="28"/>
        </w:rPr>
      </w:pPr>
      <w:r>
        <w:rPr>
          <w:rFonts w:hint="eastAsia" w:ascii="黑体" w:hAnsi="宋体" w:eastAsia="黑体"/>
          <w:sz w:val="24"/>
          <w:szCs w:val="28"/>
        </w:rPr>
        <w:t>年   月   日</w:t>
      </w:r>
    </w:p>
    <w:p>
      <w:pPr>
        <w:rPr>
          <w:rFonts w:ascii="黑体" w:hAnsi="宋体" w:eastAsia="黑体"/>
          <w:sz w:val="24"/>
          <w:szCs w:val="24"/>
        </w:rPr>
      </w:pPr>
      <w:r>
        <w:rPr>
          <w:rFonts w:hint="eastAsia" w:ascii="黑体" w:hAnsi="宋体" w:eastAsia="黑体"/>
          <w:sz w:val="24"/>
          <w:szCs w:val="24"/>
        </w:rPr>
        <w:br w:type="page"/>
      </w:r>
    </w:p>
    <w:p>
      <w:pPr>
        <w:tabs>
          <w:tab w:val="left" w:pos="6300"/>
        </w:tabs>
        <w:snapToGrid w:val="0"/>
        <w:spacing w:line="500" w:lineRule="exact"/>
        <w:outlineLvl w:val="0"/>
        <w:rPr>
          <w:rFonts w:ascii="黑体" w:hAnsi="宋体" w:eastAsia="黑体"/>
          <w:sz w:val="24"/>
          <w:szCs w:val="24"/>
        </w:rPr>
      </w:pPr>
      <w:r>
        <w:rPr>
          <w:rFonts w:hint="eastAsia" w:ascii="黑体" w:hAnsi="宋体" w:eastAsia="黑体"/>
          <w:sz w:val="24"/>
          <w:szCs w:val="24"/>
        </w:rPr>
        <w:t>（二）特定资格条件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提供完整的证明材料复印件并加盖单位公章，原件备查。</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r>
        <w:rPr>
          <w:rFonts w:hint="eastAsia" w:ascii="黑体" w:hAnsi="宋体" w:eastAsia="黑体"/>
          <w:sz w:val="24"/>
          <w:szCs w:val="24"/>
        </w:rPr>
        <w:t>（三）其他应提供的资料</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spacing w:line="360" w:lineRule="auto"/>
        <w:ind w:firstLine="480" w:firstLineChars="200"/>
        <w:rPr>
          <w:rFonts w:ascii="黑体" w:hAnsi="宋体" w:eastAsia="黑体"/>
          <w:sz w:val="24"/>
          <w:szCs w:val="24"/>
        </w:rPr>
      </w:pPr>
      <w:r>
        <w:rPr>
          <w:rFonts w:hint="eastAsia" w:ascii="黑体" w:hAnsi="宋体" w:eastAsia="黑体"/>
          <w:sz w:val="24"/>
          <w:szCs w:val="24"/>
        </w:rPr>
        <w:t>1.3其他与项目有关的资料（自附）：供应商总体情况介绍、其他与本项目有关的资料等。</w:t>
      </w:r>
    </w:p>
    <w:p>
      <w:pPr>
        <w:rPr>
          <w:rFonts w:ascii="黑体" w:hAnsi="宋体" w:eastAsia="黑体"/>
          <w:sz w:val="24"/>
          <w:szCs w:val="24"/>
        </w:rPr>
      </w:pPr>
    </w:p>
    <w:p>
      <w:pPr>
        <w:rPr>
          <w:rFonts w:ascii="黑体" w:hAnsi="宋体" w:eastAsia="黑体"/>
          <w:sz w:val="24"/>
          <w:szCs w:val="24"/>
        </w:rPr>
      </w:pPr>
    </w:p>
    <w:p/>
    <w:p/>
    <w:p/>
    <w:p/>
    <w:p/>
    <w:p/>
    <w:p/>
    <w:p/>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汉仪中黑简体">
    <w:altName w:val="宋体"/>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兰亭黑_YS_GB18030">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395"/>
      <w:gridCol w:w="7906"/>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pPr>
            <w:pStyle w:val="10"/>
            <w:jc w:val="right"/>
            <w:rPr>
              <w:color w:val="4F81BD" w:themeColor="accent1"/>
            </w:rPr>
          </w:pPr>
          <w:r>
            <w:fldChar w:fldCharType="begin"/>
          </w:r>
          <w:r>
            <w:instrText xml:space="preserve"> PAGE   \* MERGEFORMAT </w:instrText>
          </w:r>
          <w:r>
            <w:fldChar w:fldCharType="separate"/>
          </w:r>
          <w:r>
            <w:rPr>
              <w:color w:val="4F81BD" w:themeColor="accent1"/>
              <w:lang w:val="zh-CN"/>
            </w:rPr>
            <w:t>1</w:t>
          </w:r>
          <w:r>
            <w:rPr>
              <w:color w:val="4F81BD" w:themeColor="accent1"/>
              <w:lang w:val="zh-CN"/>
            </w:rPr>
            <w:fldChar w:fldCharType="end"/>
          </w:r>
        </w:p>
      </w:tc>
      <w:tc>
        <w:tcPr>
          <w:tcW w:w="4250" w:type="pct"/>
        </w:tcPr>
        <w:p>
          <w:pPr>
            <w:pStyle w:val="10"/>
            <w:rPr>
              <w:color w:val="4F81BD" w:themeColor="accent1"/>
            </w:rPr>
          </w:pPr>
        </w:p>
      </w:tc>
    </w:tr>
  </w:tbl>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4097" o:spt="202" type="#_x0000_t202" style="position:absolute;left:0pt;margin-top:0pt;height:12.8pt;width:34.8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">
          <v:path/>
          <v:fill on="f" focussize="0,0"/>
          <v:stroke on="f" joinstyle="miter"/>
          <v:imagedata o:title=""/>
          <o:lock v:ext="edit"/>
          <v:textbox inset="0mm,0mm,0mm,0mm" style="mso-fit-shape-to-text:t;">
            <w:txbxContent>
              <w:p>
                <w:pPr>
                  <w:pStyle w:val="10"/>
                  <w:rPr>
                    <w:rStyle w:val="17"/>
                    <w:sz w:val="21"/>
                    <w:szCs w:val="21"/>
                  </w:rPr>
                </w:pPr>
                <w:r>
                  <w:rPr>
                    <w:rStyle w:val="17"/>
                    <w:sz w:val="21"/>
                    <w:szCs w:val="21"/>
                  </w:rPr>
                  <w:t xml:space="preserve">— </w:t>
                </w: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14</w:t>
                </w:r>
                <w:r>
                  <w:rPr>
                    <w:sz w:val="21"/>
                    <w:szCs w:val="21"/>
                  </w:rPr>
                  <w:fldChar w:fldCharType="end"/>
                </w:r>
                <w:r>
                  <w:rPr>
                    <w:rStyle w:val="17"/>
                    <w:sz w:val="21"/>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14772"/>
    </w:sdtPr>
    <w:sdtContent>
      <w:p>
        <w:pPr>
          <w:pStyle w:val="10"/>
        </w:pPr>
        <w:r>
          <w:fldChar w:fldCharType="begin"/>
        </w:r>
        <w:r>
          <w:instrText xml:space="preserve"> PAGE   \* MERGEFORMAT </w:instrText>
        </w:r>
        <w:r>
          <w:fldChar w:fldCharType="separate"/>
        </w:r>
        <w:r>
          <w:rPr>
            <w:lang w:val="zh-CN"/>
          </w:rPr>
          <w:t>28</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江北区中医院电梯维保文件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A8CD1"/>
    <w:multiLevelType w:val="singleLevel"/>
    <w:tmpl w:val="E32A8CD1"/>
    <w:lvl w:ilvl="0" w:tentative="0">
      <w:start w:val="1"/>
      <w:numFmt w:val="decimal"/>
      <w:suff w:val="nothing"/>
      <w:lvlText w:val="%1、"/>
      <w:lvlJc w:val="left"/>
    </w:lvl>
  </w:abstractNum>
  <w:abstractNum w:abstractNumId="1">
    <w:nsid w:val="4252774D"/>
    <w:multiLevelType w:val="multilevel"/>
    <w:tmpl w:val="4252774D"/>
    <w:lvl w:ilvl="0" w:tentative="0">
      <w:start w:val="1"/>
      <w:numFmt w:val="japaneseCounting"/>
      <w:lvlText w:val="%1、"/>
      <w:lvlJc w:val="left"/>
      <w:pPr>
        <w:ind w:left="652"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0AB91"/>
    <w:multiLevelType w:val="singleLevel"/>
    <w:tmpl w:val="5600AB91"/>
    <w:lvl w:ilvl="0" w:tentative="0">
      <w:start w:val="3"/>
      <w:numFmt w:val="decimal"/>
      <w:suff w:val="nothing"/>
      <w:lvlText w:val="（%1）"/>
      <w:lvlJc w:val="left"/>
    </w:lvl>
  </w:abstractNum>
  <w:abstractNum w:abstractNumId="3">
    <w:nsid w:val="629D5D83"/>
    <w:multiLevelType w:val="singleLevel"/>
    <w:tmpl w:val="629D5D83"/>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0A55"/>
    <w:rsid w:val="00003E91"/>
    <w:rsid w:val="0000741C"/>
    <w:rsid w:val="00044FBB"/>
    <w:rsid w:val="00047679"/>
    <w:rsid w:val="000E04F4"/>
    <w:rsid w:val="000E36C1"/>
    <w:rsid w:val="000F659A"/>
    <w:rsid w:val="001068E4"/>
    <w:rsid w:val="00121F41"/>
    <w:rsid w:val="001221ED"/>
    <w:rsid w:val="00176C48"/>
    <w:rsid w:val="001B6231"/>
    <w:rsid w:val="002117C6"/>
    <w:rsid w:val="00213EF4"/>
    <w:rsid w:val="002453B6"/>
    <w:rsid w:val="0027050E"/>
    <w:rsid w:val="0028023B"/>
    <w:rsid w:val="0029791F"/>
    <w:rsid w:val="002A3873"/>
    <w:rsid w:val="002C20BC"/>
    <w:rsid w:val="00340148"/>
    <w:rsid w:val="003817C2"/>
    <w:rsid w:val="003A1DF6"/>
    <w:rsid w:val="003B1748"/>
    <w:rsid w:val="003F1F03"/>
    <w:rsid w:val="00426C3B"/>
    <w:rsid w:val="00477FEB"/>
    <w:rsid w:val="004D1922"/>
    <w:rsid w:val="004D6681"/>
    <w:rsid w:val="004D69B4"/>
    <w:rsid w:val="005554A8"/>
    <w:rsid w:val="00567E8B"/>
    <w:rsid w:val="00576BF7"/>
    <w:rsid w:val="005B357A"/>
    <w:rsid w:val="005E1FBF"/>
    <w:rsid w:val="005E72B9"/>
    <w:rsid w:val="00684166"/>
    <w:rsid w:val="006A0EF6"/>
    <w:rsid w:val="006D6DE4"/>
    <w:rsid w:val="00722F01"/>
    <w:rsid w:val="007436D2"/>
    <w:rsid w:val="00774DF9"/>
    <w:rsid w:val="00787271"/>
    <w:rsid w:val="007A5F27"/>
    <w:rsid w:val="007C06E6"/>
    <w:rsid w:val="008023C2"/>
    <w:rsid w:val="0084521D"/>
    <w:rsid w:val="00847F00"/>
    <w:rsid w:val="00876912"/>
    <w:rsid w:val="008D41FE"/>
    <w:rsid w:val="009451D0"/>
    <w:rsid w:val="00956C0D"/>
    <w:rsid w:val="00A01BAF"/>
    <w:rsid w:val="00A27422"/>
    <w:rsid w:val="00A62ED2"/>
    <w:rsid w:val="00AD00E9"/>
    <w:rsid w:val="00B32514"/>
    <w:rsid w:val="00B60036"/>
    <w:rsid w:val="00C019D1"/>
    <w:rsid w:val="00C165CE"/>
    <w:rsid w:val="00C56177"/>
    <w:rsid w:val="00C812B2"/>
    <w:rsid w:val="00C956DE"/>
    <w:rsid w:val="00CD6A7B"/>
    <w:rsid w:val="00D100A3"/>
    <w:rsid w:val="00D24736"/>
    <w:rsid w:val="00D85100"/>
    <w:rsid w:val="00D90890"/>
    <w:rsid w:val="00E618AC"/>
    <w:rsid w:val="00EA09BC"/>
    <w:rsid w:val="00EA68EE"/>
    <w:rsid w:val="00EB1C44"/>
    <w:rsid w:val="00EB6CFC"/>
    <w:rsid w:val="00F02D30"/>
    <w:rsid w:val="00F15AB3"/>
    <w:rsid w:val="00F443F9"/>
    <w:rsid w:val="00F566B8"/>
    <w:rsid w:val="00F70A55"/>
    <w:rsid w:val="00FA627D"/>
    <w:rsid w:val="00FA77A3"/>
    <w:rsid w:val="02D521F9"/>
    <w:rsid w:val="1EDE0DC9"/>
    <w:rsid w:val="202215D9"/>
    <w:rsid w:val="2FD12204"/>
    <w:rsid w:val="30C0555D"/>
    <w:rsid w:val="396C23FB"/>
    <w:rsid w:val="3AD515B1"/>
    <w:rsid w:val="3B3B62A4"/>
    <w:rsid w:val="40005B25"/>
    <w:rsid w:val="422B0659"/>
    <w:rsid w:val="4DD44E75"/>
    <w:rsid w:val="4DFC10AA"/>
    <w:rsid w:val="572B105F"/>
    <w:rsid w:val="5E0C7271"/>
    <w:rsid w:val="61832D5E"/>
    <w:rsid w:val="66347DC8"/>
    <w:rsid w:val="6D2E343E"/>
    <w:rsid w:val="70815079"/>
    <w:rsid w:val="71CC5A6D"/>
    <w:rsid w:val="73113857"/>
    <w:rsid w:val="79E32AD3"/>
    <w:rsid w:val="7C0E4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widowControl/>
      <w:tabs>
        <w:tab w:val="left" w:pos="1134"/>
      </w:tabs>
      <w:adjustRightInd w:val="0"/>
      <w:snapToGrid w:val="0"/>
      <w:spacing w:line="280" w:lineRule="atLeast"/>
      <w:jc w:val="left"/>
    </w:pPr>
    <w:rPr>
      <w:rFonts w:eastAsia="PMingLiU" w:asciiTheme="minorHAnsi" w:hAnsiTheme="minorHAnsi" w:cstheme="minorBidi"/>
      <w:sz w:val="24"/>
      <w:szCs w:val="22"/>
      <w:lang w:eastAsia="zh-TW"/>
    </w:rPr>
  </w:style>
  <w:style w:type="paragraph" w:styleId="5">
    <w:name w:val="Body Text"/>
    <w:basedOn w:val="1"/>
    <w:link w:val="28"/>
    <w:unhideWhenUsed/>
    <w:qFormat/>
    <w:uiPriority w:val="99"/>
    <w:pPr>
      <w:spacing w:after="120"/>
    </w:pPr>
  </w:style>
  <w:style w:type="paragraph" w:styleId="6">
    <w:name w:val="Plain Text"/>
    <w:basedOn w:val="1"/>
    <w:link w:val="31"/>
    <w:qFormat/>
    <w:uiPriority w:val="0"/>
    <w:rPr>
      <w:rFonts w:ascii="宋体" w:hAnsi="Courier New"/>
      <w:sz w:val="21"/>
    </w:rPr>
  </w:style>
  <w:style w:type="paragraph" w:styleId="7">
    <w:name w:val="Date"/>
    <w:basedOn w:val="1"/>
    <w:next w:val="1"/>
    <w:link w:val="33"/>
    <w:qFormat/>
    <w:uiPriority w:val="0"/>
    <w:rPr>
      <w:rFonts w:asciiTheme="minorHAnsi" w:hAnsiTheme="minorHAnsi" w:eastAsiaTheme="minorEastAsia" w:cstheme="minorBidi"/>
      <w:szCs w:val="22"/>
    </w:rPr>
  </w:style>
  <w:style w:type="paragraph" w:styleId="8">
    <w:name w:val="Body Text Indent 2"/>
    <w:basedOn w:val="1"/>
    <w:link w:val="27"/>
    <w:qFormat/>
    <w:uiPriority w:val="0"/>
    <w:pPr>
      <w:snapToGrid w:val="0"/>
      <w:spacing w:line="560" w:lineRule="atLeast"/>
      <w:ind w:firstLine="540"/>
    </w:pPr>
    <w:rPr>
      <w:rFonts w:asciiTheme="minorHAnsi" w:hAnsiTheme="minorHAnsi" w:eastAsiaTheme="minorEastAsia" w:cstheme="minorBidi"/>
      <w:szCs w:val="22"/>
    </w:rPr>
  </w:style>
  <w:style w:type="paragraph" w:styleId="9">
    <w:name w:val="Balloon Text"/>
    <w:basedOn w:val="1"/>
    <w:link w:val="3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333333"/>
      <w:u w:val="none"/>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标题 2 Char"/>
    <w:basedOn w:val="16"/>
    <w:link w:val="2"/>
    <w:qFormat/>
    <w:uiPriority w:val="0"/>
    <w:rPr>
      <w:rFonts w:ascii="Arial" w:hAnsi="Arial" w:eastAsia="黑体" w:cs="Times New Roman"/>
      <w:b/>
      <w:sz w:val="32"/>
      <w:szCs w:val="20"/>
    </w:rPr>
  </w:style>
  <w:style w:type="character" w:customStyle="1" w:styleId="22">
    <w:name w:val="标题 3 Char"/>
    <w:basedOn w:val="16"/>
    <w:link w:val="3"/>
    <w:qFormat/>
    <w:uiPriority w:val="0"/>
    <w:rPr>
      <w:rFonts w:ascii="Times New Roman" w:hAnsi="Times New Roman" w:eastAsia="宋体" w:cs="Times New Roman"/>
      <w:b/>
      <w:bCs/>
      <w:sz w:val="32"/>
      <w:szCs w:val="32"/>
    </w:rPr>
  </w:style>
  <w:style w:type="paragraph" w:styleId="23">
    <w:name w:val="List Paragraph"/>
    <w:basedOn w:val="1"/>
    <w:qFormat/>
    <w:uiPriority w:val="34"/>
    <w:pPr>
      <w:ind w:firstLine="420" w:firstLineChars="200"/>
    </w:pPr>
  </w:style>
  <w:style w:type="character" w:customStyle="1" w:styleId="24">
    <w:name w:val="批注文字 Char1"/>
    <w:qFormat/>
    <w:uiPriority w:val="99"/>
    <w:rPr>
      <w:rFonts w:eastAsia="PMingLiU"/>
      <w:sz w:val="24"/>
      <w:lang w:eastAsia="zh-TW"/>
    </w:rPr>
  </w:style>
  <w:style w:type="character" w:customStyle="1" w:styleId="25">
    <w:name w:val="批注文字 Char"/>
    <w:basedOn w:val="16"/>
    <w:link w:val="4"/>
    <w:qFormat/>
    <w:uiPriority w:val="0"/>
    <w:rPr>
      <w:rFonts w:ascii="Times New Roman" w:hAnsi="Times New Roman" w:eastAsia="宋体" w:cs="Times New Roman"/>
      <w:sz w:val="28"/>
      <w:szCs w:val="20"/>
    </w:rPr>
  </w:style>
  <w:style w:type="character" w:customStyle="1" w:styleId="26">
    <w:name w:val="正文文本缩进 2 Char"/>
    <w:qFormat/>
    <w:uiPriority w:val="0"/>
    <w:rPr>
      <w:sz w:val="28"/>
    </w:rPr>
  </w:style>
  <w:style w:type="character" w:customStyle="1" w:styleId="27">
    <w:name w:val="正文文本缩进 2 Char1"/>
    <w:basedOn w:val="16"/>
    <w:link w:val="8"/>
    <w:semiHidden/>
    <w:qFormat/>
    <w:uiPriority w:val="99"/>
    <w:rPr>
      <w:rFonts w:ascii="Times New Roman" w:hAnsi="Times New Roman" w:eastAsia="宋体" w:cs="Times New Roman"/>
      <w:sz w:val="28"/>
      <w:szCs w:val="20"/>
    </w:rPr>
  </w:style>
  <w:style w:type="character" w:customStyle="1" w:styleId="28">
    <w:name w:val="正文文本 Char"/>
    <w:basedOn w:val="16"/>
    <w:link w:val="5"/>
    <w:qFormat/>
    <w:uiPriority w:val="99"/>
    <w:rPr>
      <w:rFonts w:ascii="Times New Roman" w:hAnsi="Times New Roman" w:eastAsia="宋体" w:cs="Times New Roman"/>
      <w:sz w:val="28"/>
      <w:szCs w:val="20"/>
    </w:rPr>
  </w:style>
  <w:style w:type="paragraph" w:customStyle="1" w:styleId="29">
    <w:name w:val="1"/>
    <w:basedOn w:val="1"/>
    <w:qFormat/>
    <w:uiPriority w:val="0"/>
    <w:rPr>
      <w:rFonts w:ascii="宋体" w:hAnsi="Courier New"/>
      <w:sz w:val="21"/>
    </w:rPr>
  </w:style>
  <w:style w:type="paragraph" w:customStyle="1" w:styleId="30">
    <w:name w:val="图例"/>
    <w:basedOn w:val="1"/>
    <w:qFormat/>
    <w:uiPriority w:val="0"/>
    <w:pPr>
      <w:spacing w:before="120" w:after="120" w:line="360" w:lineRule="auto"/>
      <w:jc w:val="center"/>
    </w:pPr>
    <w:rPr>
      <w:rFonts w:eastAsia="仿宋_GB2312"/>
      <w:b/>
      <w:sz w:val="24"/>
    </w:rPr>
  </w:style>
  <w:style w:type="character" w:customStyle="1" w:styleId="31">
    <w:name w:val="纯文本 Char"/>
    <w:basedOn w:val="16"/>
    <w:link w:val="6"/>
    <w:qFormat/>
    <w:uiPriority w:val="0"/>
    <w:rPr>
      <w:rFonts w:ascii="宋体" w:hAnsi="Courier New" w:eastAsia="宋体" w:cs="Times New Roman"/>
      <w:szCs w:val="20"/>
    </w:rPr>
  </w:style>
  <w:style w:type="character" w:customStyle="1" w:styleId="32">
    <w:name w:val="日期 Char"/>
    <w:qFormat/>
    <w:uiPriority w:val="0"/>
    <w:rPr>
      <w:sz w:val="28"/>
    </w:rPr>
  </w:style>
  <w:style w:type="character" w:customStyle="1" w:styleId="33">
    <w:name w:val="日期 Char1"/>
    <w:basedOn w:val="16"/>
    <w:link w:val="7"/>
    <w:semiHidden/>
    <w:qFormat/>
    <w:uiPriority w:val="99"/>
    <w:rPr>
      <w:rFonts w:ascii="Times New Roman" w:hAnsi="Times New Roman" w:eastAsia="宋体" w:cs="Times New Roman"/>
      <w:sz w:val="28"/>
      <w:szCs w:val="20"/>
    </w:rPr>
  </w:style>
  <w:style w:type="character" w:customStyle="1" w:styleId="34">
    <w:name w:val="批注框文本 Char"/>
    <w:basedOn w:val="16"/>
    <w:link w:val="9"/>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3524</Words>
  <Characters>20091</Characters>
  <Lines>167</Lines>
  <Paragraphs>47</Paragraphs>
  <TotalTime>7</TotalTime>
  <ScaleCrop>false</ScaleCrop>
  <LinksUpToDate>false</LinksUpToDate>
  <CharactersWithSpaces>23568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2021-01-13T09:02:00Z</dcterms:created>
  <dc:creator>bwkoy</dc:creator>
  <cp:lastModifiedBy>Administrator</cp:lastModifiedBy>
  <cp:lastPrinted>2021-01-13T02:51:00Z</cp:lastPrinted>
  <dcterms:modified xsi:type="dcterms:W3CDTF">2021-01-18T03:32:49Z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